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ascii="Arial" w:hAnsi="Arial" w:cs="Arial"/>
          <w:b/>
          <w:bCs/>
          <w:color w:val="000000" w:themeColor="text1"/>
          <w:sz w:val="22"/>
          <w:szCs w:val="22"/>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1. OBJECT OF PROPERTY RATES POLICY</w:t>
      </w:r>
    </w:p>
    <w:p>
      <w:pPr>
        <w:spacing w:line="360" w:lineRule="auto"/>
        <w:ind w:firstLine="720"/>
        <w:jc w:val="both"/>
        <w:rPr>
          <w:rFonts w:ascii="Arial" w:hAnsi="Arial" w:cs="Arial"/>
          <w:color w:val="000000" w:themeColor="text1"/>
          <w:sz w:val="22"/>
          <w:szCs w:val="22"/>
          <w14:textFill>
            <w14:solidFill>
              <w14:schemeClr w14:val="tx1"/>
            </w14:solidFill>
          </w14:textFill>
        </w:rPr>
      </w:pPr>
    </w:p>
    <w:p>
      <w:p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The object of this policy is to ensure that:</w:t>
      </w:r>
    </w:p>
    <w:p>
      <w:pPr>
        <w:spacing w:line="360" w:lineRule="auto"/>
        <w:jc w:val="both"/>
        <w:rPr>
          <w:rFonts w:ascii="Arial" w:hAnsi="Arial" w:cs="Arial"/>
          <w:color w:val="000000" w:themeColor="text1"/>
          <w:sz w:val="22"/>
          <w:szCs w:val="22"/>
          <w14:textFill>
            <w14:solidFill>
              <w14:schemeClr w14:val="tx1"/>
            </w14:solidFill>
          </w14:textFill>
        </w:rPr>
      </w:pPr>
    </w:p>
    <w:p>
      <w:pPr>
        <w:pStyle w:val="27"/>
        <w:numPr>
          <w:ilvl w:val="0"/>
          <w:numId w:val="1"/>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All ratepayers within a specific category are treated equally and reasonably;</w:t>
      </w:r>
    </w:p>
    <w:p>
      <w:pPr>
        <w:pStyle w:val="27"/>
        <w:numPr>
          <w:ilvl w:val="0"/>
          <w:numId w:val="1"/>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Rates are levied in accordance with the market value of the property;</w:t>
      </w:r>
    </w:p>
    <w:p>
      <w:pPr>
        <w:pStyle w:val="27"/>
        <w:numPr>
          <w:ilvl w:val="0"/>
          <w:numId w:val="1"/>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The rate will be based on the value of all rate able property and the amount required by Council to expenditure of rates related services reflected in the operational budget, taking into account any surpluses generated from Council services and the amounts required to finance exemptions, reductions and rebates that the municipality may approve from time to time;</w:t>
      </w:r>
    </w:p>
    <w:p>
      <w:pPr>
        <w:pStyle w:val="27"/>
        <w:numPr>
          <w:ilvl w:val="0"/>
          <w:numId w:val="1"/>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To optimally safeguard the income base of the municipality by only approving exemptions, reductions and rebates that is reasonable and affordable.</w:t>
      </w:r>
    </w:p>
    <w:p>
      <w:pPr>
        <w:autoSpaceDE w:val="0"/>
        <w:autoSpaceDN w:val="0"/>
        <w:adjustRightInd w:val="0"/>
        <w:spacing w:line="360" w:lineRule="auto"/>
        <w:jc w:val="both"/>
        <w:rPr>
          <w:rFonts w:ascii="Arial" w:hAnsi="Arial" w:cs="Arial"/>
          <w:color w:val="000000" w:themeColor="text1"/>
          <w:sz w:val="22"/>
          <w:szCs w:val="22"/>
          <w14:textFill>
            <w14:solidFill>
              <w14:schemeClr w14:val="tx1"/>
            </w14:solidFill>
          </w14:textFill>
        </w:rPr>
      </w:pPr>
    </w:p>
    <w:p>
      <w:pPr>
        <w:pStyle w:val="4"/>
        <w:rPr>
          <w:b/>
          <w:color w:val="000000" w:themeColor="text1"/>
          <w:sz w:val="22"/>
          <w:szCs w:val="22"/>
          <w:u w:val="none"/>
          <w14:textFill>
            <w14:solidFill>
              <w14:schemeClr w14:val="tx1"/>
            </w14:solidFill>
          </w14:textFill>
        </w:rPr>
      </w:pPr>
      <w:r>
        <w:rPr>
          <w:b/>
          <w:color w:val="000000" w:themeColor="text1"/>
          <w:sz w:val="22"/>
          <w:szCs w:val="22"/>
          <w:u w:val="none"/>
          <w14:textFill>
            <w14:solidFill>
              <w14:schemeClr w14:val="tx1"/>
            </w14:solidFill>
          </w14:textFill>
        </w:rPr>
        <w:t>2.   LEGISLATIVE CONTEXT</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This policy is mandated by Section 3 of the Local Government: Municipal Property Rates Act, 2004 (No. 6 of 2004), which specifically provides that a municipality must adopt a Rates Policy.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In terms of Section 229 of the Constitution of the Republic of South Africa, 1996 (No.108 of 1996), a municipality may impose rates on property.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terms of the Local Government: Municipal Property Rates Act, 2004 (No. 6 of 2004) a local municipality in accordance with-</w:t>
      </w:r>
    </w:p>
    <w:p>
      <w:pPr>
        <w:pStyle w:val="27"/>
        <w:spacing w:line="360" w:lineRule="auto"/>
        <w:ind w:left="1418" w:hanging="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Section 2(1), may levy a rate on property in its area; and </w:t>
      </w:r>
    </w:p>
    <w:p>
      <w:pPr>
        <w:pStyle w:val="27"/>
        <w:spacing w:line="360" w:lineRule="auto"/>
        <w:ind w:left="1418" w:hanging="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Section 2(3), must exercise its power to levy a rate on property subject to-</w:t>
      </w:r>
    </w:p>
    <w:p>
      <w:pPr>
        <w:pStyle w:val="32"/>
        <w:spacing w:line="360" w:lineRule="auto"/>
        <w:ind w:left="2127" w:hanging="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Section 229 and any other applicable provisions of the Constitution; </w:t>
      </w:r>
    </w:p>
    <w:p>
      <w:pPr>
        <w:pStyle w:val="32"/>
        <w:spacing w:line="360" w:lineRule="auto"/>
        <w:ind w:left="2127" w:hanging="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provisions of the Property Rates Act and the regulations promulgated in terms thereof; and </w:t>
      </w:r>
    </w:p>
    <w:p>
      <w:pPr>
        <w:pStyle w:val="32"/>
        <w:spacing w:line="360" w:lineRule="auto"/>
        <w:ind w:left="2127" w:hanging="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rates policy.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In terms of Section 4 (1) (c) of the Local Government: Municipal Systems Act, 2000 (No. 32 of 2000), the Council of a municipality has the right to finance the affairs of the municipality by imposing, </w:t>
      </w:r>
      <w:r>
        <w:rPr>
          <w:rFonts w:ascii="Arial" w:hAnsi="Arial" w:cs="Arial"/>
          <w:i/>
          <w:iCs/>
          <w:color w:val="000000" w:themeColor="text1"/>
          <w:sz w:val="22"/>
          <w:szCs w:val="22"/>
          <w14:textFill>
            <w14:solidFill>
              <w14:schemeClr w14:val="tx1"/>
            </w14:solidFill>
          </w14:textFill>
        </w:rPr>
        <w:t>inter alia</w:t>
      </w:r>
      <w:r>
        <w:rPr>
          <w:rFonts w:ascii="Arial" w:hAnsi="Arial" w:cs="Arial"/>
          <w:color w:val="000000" w:themeColor="text1"/>
          <w:sz w:val="22"/>
          <w:szCs w:val="22"/>
          <w14:textFill>
            <w14:solidFill>
              <w14:schemeClr w14:val="tx1"/>
            </w14:solidFill>
          </w14:textFill>
        </w:rPr>
        <w:t xml:space="preserve">, rates on property.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In terms of Section 62(1)(f)(ii) of the Local Government: Municipal Finance Management Act, 2003 (No. 56 of 2003) the Accounting Officer must ensure that the municipality has and implements a rates policy.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This policy must be read together with, and is subject to the stipulations of the Local Government: Municipal Property Rates Act, 2004 (No. 6 of 2004) and any regulations promulgated in terms thereof.</w:t>
      </w:r>
    </w:p>
    <w:p>
      <w:pPr>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 xml:space="preserve">      </w:t>
      </w:r>
    </w:p>
    <w:p>
      <w:pPr>
        <w:spacing w:line="360" w:lineRule="auto"/>
        <w:rPr>
          <w:rFonts w:ascii="Arial" w:hAnsi="Arial" w:cs="Arial"/>
          <w:color w:val="000000"/>
          <w:sz w:val="22"/>
          <w:szCs w:val="22"/>
        </w:rPr>
      </w:pP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201</w:t>
      </w:r>
      <w:r>
        <w:rPr>
          <w:rFonts w:ascii="Arial" w:hAnsi="Arial" w:cs="Arial"/>
          <w:b/>
          <w:sz w:val="22"/>
          <w:szCs w:val="22"/>
          <w:lang w:val="en-ZA"/>
        </w:rPr>
        <w:t>7</w:t>
      </w:r>
      <w:r>
        <w:rPr>
          <w:rFonts w:ascii="Arial" w:hAnsi="Arial" w:cs="Arial"/>
          <w:b/>
          <w:sz w:val="22"/>
          <w:szCs w:val="22"/>
        </w:rPr>
        <w:t>/1</w:t>
      </w:r>
      <w:r>
        <w:rPr>
          <w:rFonts w:ascii="Arial" w:hAnsi="Arial" w:cs="Arial"/>
          <w:b/>
          <w:sz w:val="22"/>
          <w:szCs w:val="22"/>
          <w:lang w:val="en-ZA"/>
        </w:rPr>
        <w:t>8</w:t>
      </w:r>
      <w:r>
        <w:rPr>
          <w:rFonts w:ascii="Arial" w:hAnsi="Arial" w:cs="Arial"/>
          <w:b/>
          <w:sz w:val="22"/>
          <w:szCs w:val="22"/>
        </w:rPr>
        <w:t xml:space="preserve"> NLM DOCUMENT AND VERSION CONTROL</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 xml:space="preserve">Council Item Number:  </w:t>
      </w:r>
      <w:r>
        <w:rPr>
          <w:rFonts w:ascii="Arial" w:hAnsi="Arial" w:cs="Arial"/>
          <w:b/>
          <w:sz w:val="22"/>
          <w:szCs w:val="22"/>
          <w:u w:val="single"/>
          <w:lang w:val="en-ZA"/>
        </w:rPr>
        <w:t>2</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sz w:val="22"/>
          <w:szCs w:val="22"/>
          <w:u w:val="single"/>
        </w:rPr>
      </w:pPr>
      <w:r>
        <w:rPr>
          <w:rFonts w:ascii="Arial" w:hAnsi="Arial" w:cs="Arial"/>
          <w:b/>
          <w:sz w:val="22"/>
          <w:szCs w:val="22"/>
        </w:rPr>
        <w:t xml:space="preserve">Date: </w:t>
      </w:r>
      <w:r>
        <w:rPr>
          <w:rFonts w:ascii="Arial" w:hAnsi="Arial" w:cs="Arial"/>
          <w:b/>
          <w:sz w:val="22"/>
          <w:szCs w:val="22"/>
          <w:lang w:val="en-ZA"/>
        </w:rPr>
        <w:t xml:space="preserve"> 31 May 2017</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sz w:val="22"/>
          <w:szCs w:val="22"/>
        </w:rPr>
      </w:pPr>
      <w:r>
        <w:rPr>
          <w:rFonts w:ascii="Arial" w:hAnsi="Arial" w:cs="Arial"/>
          <w:sz w:val="22"/>
          <w:szCs w:val="22"/>
          <w:u w:val="single"/>
        </w:rPr>
        <w:t>Summary:</w:t>
      </w:r>
      <w:r>
        <w:rPr>
          <w:rFonts w:ascii="Arial" w:hAnsi="Arial" w:cs="Arial"/>
          <w:sz w:val="22"/>
          <w:szCs w:val="22"/>
        </w:rPr>
        <w:t xml:space="preserve"> This document describes Property Rates Policy that will be applicable to the Ngwathe Local Municipality, </w:t>
      </w:r>
      <w:bookmarkStart w:id="42" w:name="_GoBack"/>
      <w:bookmarkEnd w:id="42"/>
      <w:r>
        <w:rPr>
          <w:rFonts w:ascii="Arial" w:hAnsi="Arial" w:cs="Arial"/>
          <w:sz w:val="22"/>
          <w:szCs w:val="22"/>
        </w:rPr>
        <w:t>with effect from 01 July 201</w:t>
      </w:r>
      <w:r>
        <w:rPr>
          <w:rFonts w:ascii="Arial" w:hAnsi="Arial" w:cs="Arial"/>
          <w:sz w:val="22"/>
          <w:szCs w:val="22"/>
          <w:lang w:val="en-ZA"/>
        </w:rPr>
        <w:t>7</w:t>
      </w:r>
      <w:r>
        <w:rPr>
          <w:rFonts w:ascii="Arial" w:hAnsi="Arial" w:cs="Arial"/>
          <w:sz w:val="22"/>
          <w:szCs w:val="22"/>
        </w:rPr>
        <w:t>.</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sz w:val="22"/>
          <w:szCs w:val="22"/>
        </w:rPr>
      </w:pP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______________________________</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lang w:val="en-ZA"/>
        </w:rPr>
        <w:t>BW Kannemeyer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Clr. </w:t>
      </w:r>
      <w:r>
        <w:rPr>
          <w:rFonts w:ascii="Arial" w:hAnsi="Arial" w:cs="Arial"/>
          <w:b/>
          <w:sz w:val="22"/>
          <w:szCs w:val="22"/>
          <w:lang w:val="en-ZA"/>
        </w:rPr>
        <w:t>NP Mopedi</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Municipal Manager</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en-ZA"/>
        </w:rPr>
        <w:tab/>
      </w:r>
      <w:r>
        <w:rPr>
          <w:rFonts w:ascii="Arial" w:hAnsi="Arial" w:cs="Arial"/>
          <w:b/>
          <w:sz w:val="22"/>
          <w:szCs w:val="22"/>
          <w:lang w:val="en-ZA"/>
        </w:rPr>
        <w:tab/>
      </w:r>
      <w:r>
        <w:rPr>
          <w:rFonts w:ascii="Arial" w:hAnsi="Arial" w:cs="Arial"/>
          <w:b/>
          <w:sz w:val="22"/>
          <w:szCs w:val="22"/>
        </w:rPr>
        <w:t>Speaker</w:t>
      </w: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p>
    <w:p>
      <w:pPr>
        <w:pBdr>
          <w:top w:val="single" w:color="auto" w:sz="4" w:space="1"/>
          <w:left w:val="single" w:color="auto" w:sz="4" w:space="31"/>
          <w:bottom w:val="single" w:color="auto" w:sz="4" w:space="1"/>
          <w:right w:val="single" w:color="auto" w:sz="4" w:space="4"/>
        </w:pBdr>
        <w:spacing w:before="240" w:line="276" w:lineRule="auto"/>
        <w:ind w:left="709"/>
        <w:rPr>
          <w:rFonts w:ascii="Arial" w:hAnsi="Arial" w:cs="Arial"/>
          <w:b/>
          <w:sz w:val="22"/>
          <w:szCs w:val="22"/>
        </w:rPr>
      </w:pPr>
      <w:r>
        <w:rPr>
          <w:rFonts w:ascii="Arial" w:hAnsi="Arial" w:cs="Arial"/>
          <w:b/>
          <w:sz w:val="22"/>
          <w:szCs w:val="22"/>
        </w:rPr>
        <w:t>Date: 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Date: ________________________</w:t>
      </w:r>
    </w:p>
    <w:p>
      <w:pPr>
        <w:widowControl w:val="0"/>
        <w:autoSpaceDE w:val="0"/>
        <w:autoSpaceDN w:val="0"/>
        <w:adjustRightInd w:val="0"/>
        <w:spacing w:after="33" w:line="199" w:lineRule="exact"/>
        <w:ind w:left="720"/>
        <w:rPr>
          <w:rFonts w:ascii="Arial" w:hAnsi="Arial" w:cs="Arial"/>
          <w:color w:val="000000"/>
          <w:sz w:val="22"/>
          <w:szCs w:val="22"/>
        </w:rPr>
      </w:pPr>
    </w:p>
    <w:p>
      <w:pPr>
        <w:widowControl w:val="0"/>
        <w:autoSpaceDE w:val="0"/>
        <w:autoSpaceDN w:val="0"/>
        <w:adjustRightInd w:val="0"/>
        <w:spacing w:after="33" w:line="199" w:lineRule="exact"/>
        <w:ind w:left="720"/>
        <w:rPr>
          <w:rFonts w:ascii="Arial" w:hAnsi="Arial" w:cs="Arial"/>
          <w:color w:val="000000"/>
          <w:sz w:val="22"/>
          <w:szCs w:val="22"/>
        </w:rPr>
      </w:pP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0" w:name="_Toc215922529"/>
      <w:bookmarkStart w:id="1" w:name="_Toc174778402"/>
      <w:bookmarkStart w:id="2" w:name="_Toc109535207"/>
      <w:bookmarkStart w:id="3" w:name="_Toc109535953"/>
      <w:bookmarkStart w:id="4" w:name="_Toc110315161"/>
      <w:r>
        <w:rPr>
          <w:rFonts w:ascii="Arial" w:hAnsi="Arial" w:cs="Arial"/>
          <w:color w:val="000000" w:themeColor="text1"/>
          <w:sz w:val="22"/>
          <w:szCs w:val="22"/>
          <w14:textFill>
            <w14:solidFill>
              <w14:schemeClr w14:val="tx1"/>
            </w14:solidFill>
          </w14:textFill>
        </w:rPr>
        <w:t>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DEFINITIONS</w:t>
      </w:r>
      <w:bookmarkEnd w:id="0"/>
      <w:bookmarkEnd w:id="1"/>
    </w:p>
    <w:bookmarkEnd w:id="2"/>
    <w:bookmarkEnd w:id="3"/>
    <w:bookmarkEnd w:id="4"/>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t>
      </w:r>
      <w:r>
        <w:rPr>
          <w:rFonts w:ascii="Arial" w:hAnsi="Arial" w:cs="Arial"/>
          <w:b/>
          <w:color w:val="000000" w:themeColor="text1"/>
          <w:sz w:val="22"/>
          <w:szCs w:val="22"/>
          <w14:textFill>
            <w14:solidFill>
              <w14:schemeClr w14:val="tx1"/>
            </w14:solidFill>
          </w14:textFill>
        </w:rPr>
        <w:t>Act</w:t>
      </w:r>
      <w:r>
        <w:rPr>
          <w:rFonts w:ascii="Arial" w:hAnsi="Arial" w:cs="Arial"/>
          <w:color w:val="000000" w:themeColor="text1"/>
          <w:sz w:val="22"/>
          <w:szCs w:val="22"/>
          <w14:textFill>
            <w14:solidFill>
              <w14:schemeClr w14:val="tx1"/>
            </w14:solidFill>
          </w14:textFill>
        </w:rPr>
        <w:t>” means the Local Government: Municipal Property Rates Act, 2004 (Act No. 6 of 2004);</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t>
      </w:r>
      <w:r>
        <w:rPr>
          <w:rFonts w:ascii="Arial" w:hAnsi="Arial" w:cs="Arial"/>
          <w:b/>
          <w:color w:val="000000" w:themeColor="text1"/>
          <w:sz w:val="22"/>
          <w:szCs w:val="22"/>
          <w14:textFill>
            <w14:solidFill>
              <w14:schemeClr w14:val="tx1"/>
            </w14:solidFill>
          </w14:textFill>
        </w:rPr>
        <w:t>Agent</w:t>
      </w:r>
      <w:r>
        <w:rPr>
          <w:rFonts w:ascii="Arial" w:hAnsi="Arial" w:cs="Arial"/>
          <w:color w:val="000000" w:themeColor="text1"/>
          <w:sz w:val="22"/>
          <w:szCs w:val="22"/>
          <w14:textFill>
            <w14:solidFill>
              <w14:schemeClr w14:val="tx1"/>
            </w14:solidFill>
          </w14:textFill>
        </w:rPr>
        <w:t xml:space="preserve">”, in relation to the owner of a property, means a person appointed by the owner of the property-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to receive rental or other payments in respect of the property on behalf of the owner; or</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to make payments in respect of the property on behalf of the owner;</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t>
      </w:r>
      <w:r>
        <w:rPr>
          <w:rFonts w:ascii="Arial" w:hAnsi="Arial" w:cs="Arial"/>
          <w:b/>
          <w:color w:val="000000" w:themeColor="text1"/>
          <w:sz w:val="22"/>
          <w:szCs w:val="22"/>
          <w14:textFill>
            <w14:solidFill>
              <w14:schemeClr w14:val="tx1"/>
            </w14:solidFill>
          </w14:textFill>
        </w:rPr>
        <w:t>Agricultural purpose</w:t>
      </w:r>
      <w:r>
        <w:rPr>
          <w:rFonts w:ascii="Arial" w:hAnsi="Arial" w:cs="Arial"/>
          <w:color w:val="000000" w:themeColor="text1"/>
          <w:sz w:val="22"/>
          <w:szCs w:val="22"/>
          <w14:textFill>
            <w14:solidFill>
              <w14:schemeClr w14:val="tx1"/>
            </w14:solidFill>
          </w14:textFill>
        </w:rPr>
        <w:t xml:space="preserve">” in relation to the use of a property, includes the use of a property for the purpose of eco-tourism or for the trading in or hunting of game;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t>
      </w:r>
      <w:r>
        <w:rPr>
          <w:rFonts w:ascii="Arial" w:hAnsi="Arial" w:cs="Arial"/>
          <w:b/>
          <w:color w:val="000000" w:themeColor="text1"/>
          <w:sz w:val="22"/>
          <w:szCs w:val="22"/>
          <w14:textFill>
            <w14:solidFill>
              <w14:schemeClr w14:val="tx1"/>
            </w14:solidFill>
          </w14:textFill>
        </w:rPr>
        <w:t>Annually</w:t>
      </w:r>
      <w:r>
        <w:rPr>
          <w:rFonts w:ascii="Arial" w:hAnsi="Arial" w:cs="Arial"/>
          <w:color w:val="000000" w:themeColor="text1"/>
          <w:sz w:val="22"/>
          <w:szCs w:val="22"/>
          <w14:textFill>
            <w14:solidFill>
              <w14:schemeClr w14:val="tx1"/>
            </w14:solidFill>
          </w14:textFill>
        </w:rPr>
        <w:t>” means once every financial year;</w:t>
      </w:r>
    </w:p>
    <w:p>
      <w:pPr>
        <w:spacing w:before="240" w:line="360" w:lineRule="auto"/>
        <w:ind w:left="705" w:hanging="705"/>
        <w:jc w:val="both"/>
        <w:rPr>
          <w:rFonts w:ascii="Arial" w:hAnsi="Arial" w:cs="Arial"/>
          <w:b/>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3.5</w:t>
      </w:r>
      <w:r>
        <w:rPr>
          <w:rFonts w:ascii="Arial" w:hAnsi="Arial" w:cs="Arial"/>
          <w:b/>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 xml:space="preserve">“Category”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relation to property, means a category of properties determined in terms of Section 8 of this policy; and</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relation to owners of properties, means a category of owners determined in terms of Section 9 of this policy.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3.6</w:t>
      </w:r>
      <w:r>
        <w:rPr>
          <w:rFonts w:ascii="Arial" w:hAnsi="Arial" w:cs="Arial"/>
          <w:b/>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“Child-headed household”</w:t>
      </w:r>
      <w:r>
        <w:rPr>
          <w:rFonts w:ascii="Arial" w:hAnsi="Arial" w:cs="Arial"/>
          <w:color w:val="000000" w:themeColor="text1"/>
          <w:sz w:val="22"/>
          <w:szCs w:val="22"/>
          <w14:textFill>
            <w14:solidFill>
              <w14:schemeClr w14:val="tx1"/>
            </w14:solidFill>
          </w14:textFill>
        </w:rPr>
        <w:t xml:space="preserve"> means a household where the main caregiver of the said household is younger than 18 years of age. Child-headed household means a household headed by a child as defined in terms of section 28(3) of the Constitution.</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3.7</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“Definitions, words and expressions”</w:t>
      </w:r>
      <w:r>
        <w:rPr>
          <w:rFonts w:ascii="Arial" w:hAnsi="Arial" w:cs="Arial"/>
          <w:color w:val="000000" w:themeColor="text1"/>
          <w:sz w:val="22"/>
          <w:szCs w:val="22"/>
          <w14:textFill>
            <w14:solidFill>
              <w14:schemeClr w14:val="tx1"/>
            </w14:solidFill>
          </w14:textFill>
        </w:rPr>
        <w:t xml:space="preserve"> as used in the Act are applicable to this policy document where ever it is used;</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3.8</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“Land reform beneficiary”,</w:t>
      </w:r>
      <w:r>
        <w:rPr>
          <w:rFonts w:ascii="Arial" w:hAnsi="Arial" w:cs="Arial"/>
          <w:color w:val="000000" w:themeColor="text1"/>
          <w:sz w:val="22"/>
          <w:szCs w:val="22"/>
          <w14:textFill>
            <w14:solidFill>
              <w14:schemeClr w14:val="tx1"/>
            </w14:solidFill>
          </w14:textFill>
        </w:rPr>
        <w:t xml:space="preserve"> in relation to a property, means a person who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acquired the property through -</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Provision of Land and Assistance Act, 1993 (Act No. 126 of 1993); or</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Restitution of Land Rights Act, 1994 (Act No. 22 of 1994);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holds the property subject to the Communal Property Associations Act, 1996 (Act  No 28 of 1996);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holds or acquires the property in terms of such other land tenure reform legislation as may pursuant to section 25(6) and (7) of the Constitution (Act No.108 of 1996) be enacted after this Act has taken effect;</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3.9</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“Land tenure right”</w:t>
      </w:r>
      <w:r>
        <w:rPr>
          <w:rFonts w:ascii="Arial" w:hAnsi="Arial" w:cs="Arial"/>
          <w:color w:val="000000" w:themeColor="text1"/>
          <w:sz w:val="22"/>
          <w:szCs w:val="22"/>
          <w14:textFill>
            <w14:solidFill>
              <w14:schemeClr w14:val="tx1"/>
            </w14:solidFill>
          </w14:textFill>
        </w:rPr>
        <w:t xml:space="preserve"> means an old order right or a new order right as defined in section 1 of the Communal Land Rights Act, 2004 (Act No.11 of 2004);</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3.10</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“Municipality”</w:t>
      </w:r>
      <w:r>
        <w:rPr>
          <w:rFonts w:ascii="Arial" w:hAnsi="Arial" w:cs="Arial"/>
          <w:color w:val="000000" w:themeColor="text1"/>
          <w:sz w:val="22"/>
          <w:szCs w:val="22"/>
          <w14:textFill>
            <w14:solidFill>
              <w14:schemeClr w14:val="tx1"/>
            </w14:solidFill>
          </w14:textFill>
        </w:rPr>
        <w:t xml:space="preserve"> means the Local Municipality of Ngwathe;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3.11</w:t>
      </w:r>
      <w:r>
        <w:rPr>
          <w:rFonts w:ascii="Arial" w:hAnsi="Arial" w:cs="Arial"/>
          <w:color w:val="000000" w:themeColor="text1"/>
          <w:sz w:val="22"/>
          <w:szCs w:val="22"/>
          <w14:textFill>
            <w14:solidFill>
              <w14:schemeClr w14:val="tx1"/>
            </w14:solidFill>
          </w14:textFill>
        </w:rPr>
        <w:tab/>
      </w:r>
      <w:r>
        <w:rPr>
          <w:rFonts w:ascii="Arial" w:hAnsi="Arial" w:cs="Arial"/>
          <w:b/>
          <w:bCs/>
          <w:color w:val="000000" w:themeColor="text1"/>
          <w:sz w:val="22"/>
          <w:szCs w:val="22"/>
          <w14:textFill>
            <w14:solidFill>
              <w14:schemeClr w14:val="tx1"/>
            </w14:solidFill>
          </w14:textFill>
        </w:rPr>
        <w:t>“Newly Rateable property”</w:t>
      </w:r>
      <w:r>
        <w:rPr>
          <w:rFonts w:ascii="Arial" w:hAnsi="Arial" w:cs="Arial"/>
          <w:color w:val="000000" w:themeColor="text1"/>
          <w:sz w:val="22"/>
          <w:szCs w:val="22"/>
          <w14:textFill>
            <w14:solidFill>
              <w14:schemeClr w14:val="tx1"/>
            </w14:solidFill>
          </w14:textFill>
        </w:rPr>
        <w:t xml:space="preserve"> means any rateable property on which property rates were not levied before the end of the financial year preceding the date on which this Act took effect, excluding –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property which was incorrectly omitted from a valuation roll and for that reason was not rated before that date; and</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property identified by the Minister by notice in the Gazette where the phasing-in of a rate is not justified;</w:t>
      </w:r>
    </w:p>
    <w:p>
      <w:pPr>
        <w:spacing w:before="240" w:line="360" w:lineRule="auto"/>
        <w:ind w:left="705" w:hanging="705"/>
        <w:jc w:val="both"/>
        <w:rPr>
          <w:rFonts w:ascii="Arial" w:hAnsi="Arial" w:cs="Arial"/>
          <w:b/>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3.12</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“O</w:t>
      </w:r>
      <w:r>
        <w:rPr>
          <w:rFonts w:ascii="Arial" w:hAnsi="Arial" w:cs="Arial"/>
          <w:b/>
          <w:bCs/>
          <w:color w:val="000000" w:themeColor="text1"/>
          <w:sz w:val="22"/>
          <w:szCs w:val="22"/>
          <w14:textFill>
            <w14:solidFill>
              <w14:schemeClr w14:val="tx1"/>
            </w14:solidFill>
          </w14:textFill>
        </w:rPr>
        <w:t>wner</w:t>
      </w:r>
      <w:r>
        <w:rPr>
          <w:rFonts w:ascii="Arial" w:hAnsi="Arial" w:cs="Arial"/>
          <w:color w:val="000000" w:themeColor="text1"/>
          <w:sz w:val="22"/>
          <w:szCs w:val="22"/>
          <w14:textFill>
            <w14:solidFill>
              <w14:schemeClr w14:val="tx1"/>
            </w14:solidFill>
          </w14:textFill>
        </w:rPr>
        <w:t>”-</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relation to a property referred to in paragraph (a) of the definition of “property”, means a person in whose name ownership of the property is registered;</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relation to a right referred to in paragraph (b) of the definition of “property”, means a person in whose name the right is registered;</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relation to a land tenure right referred to in paragraph (c) of the definition of “property”, means a person in whose name the right is registered or to whom it was granted in terms of legislation; or</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In relation to public service infrastructure referred to in paragraph (d) of the definition of “property”, means the organ of state which owns or controls that public service infrastructure as envisaged in the definition of “publicly controlled”, provided that a person mentioned below may for the purposes of this Act be regarded by a municipality as the owner of a property in the following cases:- </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trustee, in the case of a property in a trust excluding state trust land;</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An executor or administrator, in the case of a property in a deceased estate;</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trustee or liquidator, in the case of a property in an insolvent estate or in</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(iv)</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A judicial manager, in the case of a property in the estate of a person under </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(v)</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curator, in the case of a property in the estate of a person under curatorship;</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(vi)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person in whose name a usufruct or other personal servitude is registered, in the case of a property that is subject to a usufruct or other personal servitude;</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(vii)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lessee, in the case of a property that is registered in the name of a municipality and is leased by it; or</w:t>
      </w:r>
    </w:p>
    <w:p>
      <w:pPr>
        <w:spacing w:line="360" w:lineRule="auto"/>
        <w:ind w:left="1985"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(viii)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buyer, in the case of a property that was sold by a municipality and of which possession was given to the buyer pending registration of ownership in the name of the buyer;</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3.13</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 xml:space="preserve">“Privately owned towns serviced by the owner” </w:t>
      </w:r>
      <w:r>
        <w:rPr>
          <w:rFonts w:ascii="Arial" w:hAnsi="Arial" w:cs="Arial"/>
          <w:color w:val="000000" w:themeColor="text1"/>
          <w:sz w:val="22"/>
          <w:szCs w:val="22"/>
          <w14:textFill>
            <w14:solidFill>
              <w14:schemeClr w14:val="tx1"/>
            </w14:solidFill>
          </w14:textFill>
        </w:rPr>
        <w:t>means single properties, situated in an area not ordinarily being serviced by the municipality, divided through sub division or township establishment into (ten or more) full title stands and/ or sectional units and where all rates related services inclusive of installation and maintenance of streets, roads, sidewalks, lighting, storm water drainage facilities, parks and recreational facilities are installed at the full cost of the developer and maintained and rendered by the residents of such estate.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3.14</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“Property”</w:t>
      </w:r>
      <w:r>
        <w:rPr>
          <w:rFonts w:ascii="Arial" w:hAnsi="Arial" w:cs="Arial"/>
          <w:color w:val="000000" w:themeColor="text1"/>
          <w:sz w:val="22"/>
          <w:szCs w:val="22"/>
          <w14:textFill>
            <w14:solidFill>
              <w14:schemeClr w14:val="tx1"/>
            </w14:solidFill>
          </w14:textFill>
        </w:rPr>
        <w:t xml:space="preserve"> means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Immovable property registered in the name of a person, including, in the case of a sectional title scheme, a sectional title unit registered in the name of a person;</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right registered against immovable property in the name of a person, excluding a mortgage bond registered against the property;</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land tenure right registered in the name of a person or granted to a person in terms of legislation; or</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Public service infrastructure.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3.15</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“Public service infrastructure”</w:t>
      </w:r>
      <w:r>
        <w:rPr>
          <w:rFonts w:ascii="Arial" w:hAnsi="Arial" w:cs="Arial"/>
          <w:color w:val="000000" w:themeColor="text1"/>
          <w:sz w:val="22"/>
          <w:szCs w:val="22"/>
          <w14:textFill>
            <w14:solidFill>
              <w14:schemeClr w14:val="tx1"/>
            </w14:solidFill>
          </w14:textFill>
        </w:rPr>
        <w:t xml:space="preserve"> means publicly controlled infrastructure of the following kinds: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National, provincial or other public roads on which goods, services or labour move across a municipal boundary;</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water or sewer pipes, ducts or other conduits, dams, water supply reservoirs, water treatment plants or water pumps forming part of a water or sewer scheme serving the public;</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Power stations, power substations or power lines forming part of an electricity scheme serving the public;</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Gas or liquid fuel plants or refineries or pipelines for gas or liquid fuels, forming part of a scheme for transporting such fuels;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(e)</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Railway lines forming part of a national railway system; </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(f)</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Communication towers, masts, exchanges or lines forming part of a    communications system serving the public;</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(g)</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Runways or aprons at national or provincial airports;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(h)</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breakwaters, sea walls, channels, basins, quay walls, jetties, roads, railway or infrastructure used for the provision of water, lights, power, sewerage or similar services of ports, or navigational aids comprising lighthouses, radio navigational aids, buoys, beacons or any other device or system used to assist the safe and efficient navigation of vessels;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Any other publicly controlled infrastructure as may be prescribed; or</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(j)</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Rights of way, easements or servitudes in connection with infrastructure mentioned in paragraphs (a) to (i).</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3.16</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 xml:space="preserve">“Residential property” </w:t>
      </w:r>
      <w:r>
        <w:rPr>
          <w:rFonts w:ascii="Arial" w:hAnsi="Arial" w:cs="Arial"/>
          <w:color w:val="000000" w:themeColor="text1"/>
          <w:sz w:val="22"/>
          <w:szCs w:val="22"/>
          <w14:textFill>
            <w14:solidFill>
              <w14:schemeClr w14:val="tx1"/>
            </w14:solidFill>
          </w14:textFill>
        </w:rPr>
        <w:t xml:space="preserve">means </w:t>
      </w:r>
      <w:r>
        <w:rPr>
          <w:rFonts w:ascii="Arial" w:hAnsi="Arial" w:cs="Arial"/>
          <w:color w:val="000000" w:themeColor="text1"/>
          <w:sz w:val="22"/>
          <w:szCs w:val="22"/>
          <w:u w:val="single"/>
          <w14:textFill>
            <w14:solidFill>
              <w14:schemeClr w14:val="tx1"/>
            </w14:solidFill>
          </w14:textFill>
        </w:rPr>
        <w:t>improved</w:t>
      </w:r>
      <w:r>
        <w:rPr>
          <w:rFonts w:ascii="Arial" w:hAnsi="Arial" w:cs="Arial"/>
          <w:color w:val="000000" w:themeColor="text1"/>
          <w:sz w:val="22"/>
          <w:szCs w:val="22"/>
          <w14:textFill>
            <w14:solidFill>
              <w14:schemeClr w14:val="tx1"/>
            </w14:solidFill>
          </w14:textFill>
        </w:rPr>
        <w:t xml:space="preserve"> property that:-</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is used predominantly (60% or more) for residential purposes including any adjoining property registered in the name of the same owner and used together with such residential property as if it were one property. Any such grouping shall be regarded as one residential property for rate rebate or valuation reduction purposes.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Is a unit registered in terms of the Sectional Title Act and used predominantly for residential purposes.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Is owned by a share-block company and used solely for residential purposes.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Is a residence used for residential purposes situated on property used for or related to educational purposes?</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(e)</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Retirement schemes and life right schemes used predominantly (60% or more) for residential purposes.</w:t>
      </w:r>
    </w:p>
    <w:p>
      <w:pPr>
        <w:spacing w:before="240" w:line="360" w:lineRule="auto"/>
        <w:ind w:left="705" w:firstLine="4"/>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And specifically exclude hostels, flats, old age homes, guest houses and vacant land irrespective of its zoning or intended use.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3.17</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“Rural communal settlements”</w:t>
      </w:r>
      <w:r>
        <w:rPr>
          <w:rFonts w:ascii="Arial" w:hAnsi="Arial" w:cs="Arial"/>
          <w:color w:val="000000" w:themeColor="text1"/>
          <w:sz w:val="22"/>
          <w:szCs w:val="22"/>
          <w14:textFill>
            <w14:solidFill>
              <w14:schemeClr w14:val="tx1"/>
            </w14:solidFill>
          </w14:textFill>
        </w:rPr>
        <w:t xml:space="preserve"> means the residual portion of rural communal land excluding identifiable and rateable entities within the property and excluding State Trust Land and land reform beneficiaries as defined in the Act.</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3.18</w:t>
      </w:r>
      <w:r>
        <w:rPr>
          <w:rFonts w:ascii="Arial" w:hAnsi="Arial" w:cs="Arial"/>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“state trust land”</w:t>
      </w:r>
      <w:r>
        <w:rPr>
          <w:rFonts w:ascii="Arial" w:hAnsi="Arial" w:cs="Arial"/>
          <w:color w:val="000000" w:themeColor="text1"/>
          <w:sz w:val="22"/>
          <w:szCs w:val="22"/>
          <w14:textFill>
            <w14:solidFill>
              <w14:schemeClr w14:val="tx1"/>
            </w14:solidFill>
          </w14:textFill>
        </w:rPr>
        <w:t xml:space="preserve"> means land owned by the state-</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trust for persons communally inhabiting the land in terms of a traditional system of land tenure;</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Over which land tenure rights were registered or granted; or</w:t>
      </w:r>
    </w:p>
    <w:p>
      <w:pPr>
        <w:autoSpaceDE w:val="0"/>
        <w:autoSpaceDN w:val="0"/>
        <w:adjustRightInd w:val="0"/>
        <w:spacing w:line="360" w:lineRule="auto"/>
        <w:ind w:left="1440" w:hanging="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Which is earmarked for disposal in terms of the Restitution of Land Rights Act, 1994 (Act No. 22 of 1994).</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5" w:name="_Toc215922530"/>
      <w:r>
        <w:rPr>
          <w:rFonts w:ascii="Arial" w:hAnsi="Arial" w:cs="Arial"/>
          <w:color w:val="000000" w:themeColor="text1"/>
          <w:sz w:val="22"/>
          <w:szCs w:val="22"/>
          <w14:textFill>
            <w14:solidFill>
              <w14:schemeClr w14:val="tx1"/>
            </w14:solidFill>
          </w14:textFill>
        </w:rPr>
        <w:t>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POLICY PRINCIPLES</w:t>
      </w:r>
      <w:bookmarkEnd w:id="5"/>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4.1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Rates are levied in accordance with the Act as an amount in the rand based on the market value of all rateable property contained in the municipality’s valuation roll and supplementary valuation roll.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4.2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As allowed for in the Act, the municipality has chosen to differentiate between various categories of property and categories of owners of property as contemplated in clause 7 and 8 of this policy. Some categories of property and categories of owners are granted relief from rates. The municipality however does not grant relief in respect of payments for rates to any category of owners or properties, or to owners of properties on an individual basis.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4.3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There would be no phasing in of rates based on the new valuation roll, except as prescribed by legislation and in accordance with clause 17 of this policy.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4.4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accordance with section 3(3) of the Act, the rates policy for the municipality is based on the following principles:</w:t>
      </w:r>
    </w:p>
    <w:p>
      <w:pPr>
        <w:spacing w:line="360" w:lineRule="auto"/>
        <w:ind w:firstLine="720"/>
        <w:jc w:val="both"/>
        <w:rPr>
          <w:rFonts w:ascii="Arial" w:hAnsi="Arial" w:cs="Arial"/>
          <w:color w:val="000000" w:themeColor="text1"/>
          <w:sz w:val="22"/>
          <w:szCs w:val="22"/>
          <w14:textFill>
            <w14:solidFill>
              <w14:schemeClr w14:val="tx1"/>
            </w14:solidFill>
          </w14:textFill>
        </w:rPr>
      </w:pPr>
    </w:p>
    <w:p>
      <w:pPr>
        <w:spacing w:line="360" w:lineRule="auto"/>
        <w:ind w:firstLine="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Equity</w:t>
      </w:r>
    </w:p>
    <w:p>
      <w:pPr>
        <w:spacing w:line="360" w:lineRule="auto"/>
        <w:ind w:left="14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The municipality will treat all ratepayers with similar properties the same.</w:t>
      </w:r>
    </w:p>
    <w:p>
      <w:pPr>
        <w:spacing w:line="360" w:lineRule="auto"/>
        <w:ind w:firstLine="720"/>
        <w:jc w:val="both"/>
        <w:rPr>
          <w:rFonts w:ascii="Arial" w:hAnsi="Arial" w:cs="Arial"/>
          <w:color w:val="000000" w:themeColor="text1"/>
          <w:sz w:val="22"/>
          <w:szCs w:val="22"/>
          <w:u w:val="single"/>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Affordability</w:t>
      </w:r>
    </w:p>
    <w:p>
      <w:pPr>
        <w:spacing w:line="360" w:lineRule="auto"/>
        <w:ind w:left="14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The ability of a person to pay rates will be taken into account by the municipality. In dealing with the poor/indigent ratepayers the municipality will provide relief measures through exemptions, reductions, rebates and cross subsidy from the equitable share allocation.</w:t>
      </w:r>
    </w:p>
    <w:p>
      <w:pPr>
        <w:spacing w:line="360" w:lineRule="auto"/>
        <w:ind w:firstLine="720"/>
        <w:jc w:val="both"/>
        <w:rPr>
          <w:rFonts w:ascii="Arial" w:hAnsi="Arial" w:cs="Arial"/>
          <w:color w:val="000000" w:themeColor="text1"/>
          <w:sz w:val="22"/>
          <w:szCs w:val="22"/>
          <w:u w:val="single"/>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Sustainability</w:t>
      </w:r>
    </w:p>
    <w:p>
      <w:p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Rating of property will be implemented in a way that:</w:t>
      </w:r>
    </w:p>
    <w:p>
      <w:pPr>
        <w:spacing w:line="360" w:lineRule="auto"/>
        <w:ind w:left="216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it supports sustainable local government by providing a stable and buoyant revenue source within the discretionary control of the municipality;</w:t>
      </w:r>
    </w:p>
    <w:p>
      <w:p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Supports local, social and economic development; and</w:t>
      </w:r>
    </w:p>
    <w:p>
      <w:p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Secures the economic sustainability of every category of ratepayer.</w:t>
      </w:r>
    </w:p>
    <w:p>
      <w:pPr>
        <w:spacing w:line="360" w:lineRule="auto"/>
        <w:ind w:firstLine="720"/>
        <w:jc w:val="both"/>
        <w:rPr>
          <w:rFonts w:ascii="Arial" w:hAnsi="Arial" w:cs="Arial"/>
          <w:i/>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Cost efficiency</w:t>
      </w:r>
      <w:r>
        <w:rPr>
          <w:rFonts w:ascii="Arial" w:hAnsi="Arial" w:cs="Arial"/>
          <w:color w:val="000000" w:themeColor="text1"/>
          <w:sz w:val="22"/>
          <w:szCs w:val="22"/>
          <w:u w:val="single"/>
          <w14:textFill>
            <w14:solidFill>
              <w14:schemeClr w14:val="tx1"/>
            </w14:solidFill>
          </w14:textFill>
        </w:rPr>
        <w:t xml:space="preserve"> </w:t>
      </w:r>
    </w:p>
    <w:p>
      <w:pPr>
        <w:spacing w:line="360" w:lineRule="auto"/>
        <w:ind w:left="14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Rates will be based on the value of all rateable property and will be used to fund community and subsidised services after taking into account profits generated on trading (water, electricity) and economic (refuse removal, sewerage disposal) services and the amounts required to finance exemptions, rebates, reductions and phasing-in of rates as approved by the municipality from time to time.</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6" w:name="_Toc215922531"/>
      <w:r>
        <w:rPr>
          <w:rFonts w:ascii="Arial" w:hAnsi="Arial" w:cs="Arial"/>
          <w:color w:val="000000" w:themeColor="text1"/>
          <w:sz w:val="22"/>
          <w:szCs w:val="22"/>
          <w14:textFill>
            <w14:solidFill>
              <w14:schemeClr w14:val="tx1"/>
            </w14:solidFill>
          </w14:textFill>
        </w:rPr>
        <w:t>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SCOPE OF THE POLICY</w:t>
      </w:r>
      <w:bookmarkEnd w:id="6"/>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5.1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This policy document guides the annual setting (or revision) of property rates tariffs. It does not necessarily make specific property rates tariff proposals. Details pertaining to the applications of the various property rates tariffs are annually published in the Provincial Gazette and the municipality’s schedule of tariffs, which must be read in conjunction with this policy.</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7" w:name="_Toc215922532"/>
      <w:r>
        <w:rPr>
          <w:rFonts w:ascii="Arial" w:hAnsi="Arial" w:cs="Arial"/>
          <w:color w:val="000000" w:themeColor="text1"/>
          <w:sz w:val="22"/>
          <w:szCs w:val="22"/>
          <w14:textFill>
            <w14:solidFill>
              <w14:schemeClr w14:val="tx1"/>
            </w14:solidFill>
          </w14:textFill>
        </w:rPr>
        <w:t>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APPLICATION OF THE POLICY</w:t>
      </w:r>
      <w:bookmarkEnd w:id="7"/>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6.1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imposing the rate in the rand for each annual operating budget component, the municipality shall grant exemptions, rebates and reductions to the categories of properties and categories of owners as allowed for in this policy document.</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8" w:name="_Toc215922533"/>
      <w:r>
        <w:rPr>
          <w:rFonts w:ascii="Arial" w:hAnsi="Arial" w:cs="Arial"/>
          <w:color w:val="000000" w:themeColor="text1"/>
          <w:sz w:val="22"/>
          <w:szCs w:val="22"/>
          <w14:textFill>
            <w14:solidFill>
              <w14:schemeClr w14:val="tx1"/>
            </w14:solidFill>
          </w14:textFill>
        </w:rPr>
        <w:t>7.</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PRINCIPLES APPLICABLE TO FINANCING OF SERVICES</w:t>
      </w:r>
      <w:bookmarkEnd w:id="8"/>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7.1</w:t>
      </w:r>
      <w:r>
        <w:rPr>
          <w:rFonts w:ascii="Arial" w:hAnsi="Arial" w:cs="Arial"/>
          <w:b/>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Accounting Officer or his/her nominee must, subject to the guidelines provided by the National Treasury and the Executive Committee of the municipality, make provision for the following classification of services:-</w:t>
      </w:r>
    </w:p>
    <w:p>
      <w:pPr>
        <w:spacing w:line="360" w:lineRule="auto"/>
        <w:ind w:left="709"/>
        <w:jc w:val="both"/>
        <w:rPr>
          <w:rFonts w:ascii="Arial" w:hAnsi="Arial" w:cs="Arial"/>
          <w:color w:val="000000" w:themeColor="text1"/>
          <w:sz w:val="22"/>
          <w:szCs w:val="22"/>
          <w14:textFill>
            <w14:solidFill>
              <w14:schemeClr w14:val="tx1"/>
            </w14:solidFill>
          </w14:textFill>
        </w:rPr>
      </w:pPr>
      <w:bookmarkStart w:id="9" w:name="_Toc516936574"/>
      <w:bookmarkStart w:id="10" w:name="_Toc517018375"/>
      <w:bookmarkStart w:id="11" w:name="_Toc517025136"/>
      <w:bookmarkStart w:id="12" w:name="_Toc174429889"/>
      <w:bookmarkStart w:id="13" w:name="_Toc174778403"/>
      <w:r>
        <w:rPr>
          <w:rFonts w:ascii="Arial" w:hAnsi="Arial" w:cs="Arial"/>
          <w:color w:val="000000" w:themeColor="text1"/>
          <w:sz w:val="22"/>
          <w:szCs w:val="22"/>
          <w14:textFill>
            <w14:solidFill>
              <w14:schemeClr w14:val="tx1"/>
            </w14:solidFill>
          </w14:textFill>
        </w:rPr>
        <w:t>(a)</w:t>
      </w:r>
      <w:bookmarkEnd w:id="9"/>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u w:val="single"/>
          <w14:textFill>
            <w14:solidFill>
              <w14:schemeClr w14:val="tx1"/>
            </w14:solidFill>
          </w14:textFill>
        </w:rPr>
        <w:t>Trading services</w:t>
      </w:r>
      <w:bookmarkEnd w:id="10"/>
      <w:bookmarkEnd w:id="11"/>
      <w:bookmarkEnd w:id="12"/>
      <w:bookmarkEnd w:id="13"/>
    </w:p>
    <w:p>
      <w:pPr>
        <w:spacing w:line="360" w:lineRule="auto"/>
        <w:ind w:left="1701" w:hanging="141"/>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Water</w:t>
      </w:r>
    </w:p>
    <w:p>
      <w:pPr>
        <w:spacing w:line="360" w:lineRule="auto"/>
        <w:ind w:left="1418" w:firstLine="142"/>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Electricity</w:t>
      </w:r>
    </w:p>
    <w:p>
      <w:pPr>
        <w:spacing w:line="360" w:lineRule="auto"/>
        <w:ind w:left="709"/>
        <w:jc w:val="both"/>
        <w:rPr>
          <w:rFonts w:ascii="Arial" w:hAnsi="Arial" w:cs="Arial"/>
          <w:color w:val="000000" w:themeColor="text1"/>
          <w:sz w:val="22"/>
          <w:szCs w:val="22"/>
          <w14:textFill>
            <w14:solidFill>
              <w14:schemeClr w14:val="tx1"/>
            </w14:solidFill>
          </w14:textFill>
        </w:rPr>
      </w:pPr>
      <w:bookmarkStart w:id="14" w:name="_Toc174429890"/>
      <w:bookmarkStart w:id="15" w:name="_Toc517025137"/>
      <w:bookmarkStart w:id="16" w:name="_Toc517018376"/>
      <w:bookmarkStart w:id="17" w:name="_Toc174778404"/>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u w:val="single"/>
          <w14:textFill>
            <w14:solidFill>
              <w14:schemeClr w14:val="tx1"/>
            </w14:solidFill>
          </w14:textFill>
        </w:rPr>
        <w:t>Economic services</w:t>
      </w:r>
      <w:bookmarkEnd w:id="14"/>
      <w:bookmarkEnd w:id="15"/>
      <w:bookmarkEnd w:id="16"/>
      <w:bookmarkEnd w:id="17"/>
    </w:p>
    <w:p>
      <w:pPr>
        <w:tabs>
          <w:tab w:val="left" w:pos="1418"/>
        </w:tabs>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Refuse removal.</w:t>
      </w:r>
    </w:p>
    <w:p>
      <w:pPr>
        <w:tabs>
          <w:tab w:val="left" w:pos="1418"/>
        </w:tabs>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Sewerage disposal.</w:t>
      </w:r>
    </w:p>
    <w:p>
      <w:pPr>
        <w:spacing w:line="360" w:lineRule="auto"/>
        <w:ind w:left="709"/>
        <w:jc w:val="both"/>
        <w:rPr>
          <w:rFonts w:ascii="Arial" w:hAnsi="Arial" w:cs="Arial"/>
          <w:color w:val="000000" w:themeColor="text1"/>
          <w:sz w:val="22"/>
          <w:szCs w:val="22"/>
          <w14:textFill>
            <w14:solidFill>
              <w14:schemeClr w14:val="tx1"/>
            </w14:solidFill>
          </w14:textFill>
        </w:rPr>
      </w:pPr>
      <w:bookmarkStart w:id="18" w:name="_Toc174778405"/>
      <w:bookmarkStart w:id="19" w:name="_Toc517025138"/>
      <w:bookmarkStart w:id="20" w:name="_Toc174429891"/>
      <w:bookmarkStart w:id="21" w:name="_Toc517018377"/>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u w:val="single"/>
          <w14:textFill>
            <w14:solidFill>
              <w14:schemeClr w14:val="tx1"/>
            </w14:solidFill>
          </w14:textFill>
        </w:rPr>
        <w:t>Community and subsidized services</w:t>
      </w:r>
      <w:bookmarkEnd w:id="18"/>
      <w:bookmarkEnd w:id="19"/>
      <w:bookmarkEnd w:id="20"/>
      <w:bookmarkEnd w:id="21"/>
    </w:p>
    <w:p>
      <w:pPr>
        <w:spacing w:line="360" w:lineRule="auto"/>
        <w:ind w:left="14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These include all those services ordinarily being rendered by the municipality excluding those mentioned in 7.1 (a) and (b) above.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bookmarkStart w:id="22" w:name="_Toc516936577"/>
      <w:r>
        <w:rPr>
          <w:rFonts w:ascii="Arial" w:hAnsi="Arial" w:cs="Arial"/>
          <w:color w:val="000000" w:themeColor="text1"/>
          <w:sz w:val="22"/>
          <w:szCs w:val="22"/>
          <w14:textFill>
            <w14:solidFill>
              <w14:schemeClr w14:val="tx1"/>
            </w14:solidFill>
          </w14:textFill>
        </w:rPr>
        <w:t>7.2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Trading and economic services as referred to in clauses (a) and (b) shall be ring fenced and financed from service charges while community and subsidized services referred to in clause (c) shall be financed from surpluses on trading and economic services, regulatory fees, rates and rates related income.</w:t>
      </w:r>
    </w:p>
    <w:bookmarkEnd w:id="22"/>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23" w:name="_Toc215922534"/>
      <w:r>
        <w:rPr>
          <w:rFonts w:ascii="Arial" w:hAnsi="Arial" w:cs="Arial"/>
          <w:color w:val="000000" w:themeColor="text1"/>
          <w:sz w:val="22"/>
          <w:szCs w:val="22"/>
          <w14:textFill>
            <w14:solidFill>
              <w14:schemeClr w14:val="tx1"/>
            </w14:solidFill>
          </w14:textFill>
        </w:rPr>
        <w:t>8.</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CATEGORIES OF PROPERTY</w:t>
      </w:r>
      <w:bookmarkEnd w:id="23"/>
    </w:p>
    <w:p>
      <w:pPr>
        <w:spacing w:before="240" w:line="360" w:lineRule="auto"/>
        <w:ind w:left="709" w:hanging="709"/>
        <w:jc w:val="both"/>
        <w:rPr>
          <w:rFonts w:ascii="Arial" w:hAnsi="Arial" w:cs="Arial"/>
          <w:i/>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Different rates may be levied in respect of the following categories of rateable properties and such rates will be determined on an annual basis during the compilation of the annual budget:- </w:t>
      </w:r>
    </w:p>
    <w:p>
      <w:pPr>
        <w:pStyle w:val="22"/>
        <w:spacing w:before="2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8.1.1  Residential properties;</w:t>
      </w:r>
    </w:p>
    <w:p>
      <w:pPr>
        <w:pStyle w:val="22"/>
        <w:spacing w:before="240"/>
        <w:jc w:val="both"/>
        <w:rPr>
          <w:rFonts w:ascii="Arial" w:hAnsi="Arial" w:cs="Arial"/>
          <w:color w:val="000000" w:themeColor="text1"/>
          <w:sz w:val="22"/>
          <w:szCs w:val="22"/>
          <w14:textFill>
            <w14:solidFill>
              <w14:schemeClr w14:val="tx1"/>
            </w14:solidFill>
          </w14:textFill>
        </w:rPr>
      </w:pPr>
    </w:p>
    <w:p>
      <w:pPr>
        <w:pStyle w:val="22"/>
        <w:spacing w:before="2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8.1.2  Industrial properties;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8.1.3  Business properties;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8.1.4  Agricultural properties;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8.1.5  Small Holdings;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8.1.6  State owned properties;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8.1.6  Municipal properties;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8.1.7  Public service infrastructure referred to in the Act;</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8.1.8  Properties owned by Public Benefit Organisations;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8.1.9  Churches;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8.1.10  Educational;</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8.1.11  Privately Owned Towns;</w:t>
      </w:r>
    </w:p>
    <w:p>
      <w:pPr>
        <w:spacing w:before="240"/>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8.1.12  Vacant Stands.</w:t>
      </w:r>
    </w:p>
    <w:p>
      <w:pPr>
        <w:pStyle w:val="8"/>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determining the category of a property referred to in 8.1 the municipality shall take into consideration the dominant use of the property, regardless the formal zoning of the property.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8.3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Properties used for multiple purposes shall be categorized and rated as provided for in section 9 of the Act and as more fully described in clause 9 of this policy.</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24" w:name="_Toc215922535"/>
      <w:r>
        <w:rPr>
          <w:rFonts w:ascii="Arial" w:hAnsi="Arial" w:cs="Arial"/>
          <w:color w:val="000000" w:themeColor="text1"/>
          <w:sz w:val="22"/>
          <w:szCs w:val="22"/>
          <w14:textFill>
            <w14:solidFill>
              <w14:schemeClr w14:val="tx1"/>
            </w14:solidFill>
          </w14:textFill>
        </w:rPr>
        <w:t>9.</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CATEGORIES OF OWNERS</w:t>
      </w:r>
      <w:bookmarkEnd w:id="24"/>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9.1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For the purpose of granting exemptions, reductions and rebates in terms of clause 12, 13 and 14 respectively the following categories of owners of properties are determined:-</w:t>
      </w:r>
    </w:p>
    <w:p>
      <w:pPr>
        <w:autoSpaceDE w:val="0"/>
        <w:autoSpaceDN w:val="0"/>
        <w:adjustRightInd w:val="0"/>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Those owners who qualify and who are registered as indigents in terms of the adopted indigent policy of the municipality;</w:t>
      </w:r>
    </w:p>
    <w:p>
      <w:pPr>
        <w:autoSpaceDE w:val="0"/>
        <w:autoSpaceDN w:val="0"/>
        <w:adjustRightInd w:val="0"/>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Those owners who do not qualify as indigents in terms of the adopted indigent policy of the municipality but whose total monthly income is less than the amount annually determined by the municipality in its budget; </w:t>
      </w:r>
    </w:p>
    <w:p>
      <w:pPr>
        <w:autoSpaceDE w:val="0"/>
        <w:autoSpaceDN w:val="0"/>
        <w:adjustRightInd w:val="0"/>
        <w:spacing w:line="360" w:lineRule="auto"/>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Owners of property situated within an area affected by-</w:t>
      </w:r>
    </w:p>
    <w:p>
      <w:pPr>
        <w:autoSpaceDE w:val="0"/>
        <w:autoSpaceDN w:val="0"/>
        <w:adjustRightInd w:val="0"/>
        <w:spacing w:line="360" w:lineRule="auto"/>
        <w:ind w:left="216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disaster within the meaning of the Disaster Management Act, 2002 (Act No. 57 of 2002); or</w:t>
      </w:r>
    </w:p>
    <w:p>
      <w:pPr>
        <w:autoSpaceDE w:val="0"/>
        <w:autoSpaceDN w:val="0"/>
        <w:adjustRightInd w:val="0"/>
        <w:spacing w:line="360" w:lineRule="auto"/>
        <w:ind w:left="216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serious adverse social or economic conditions.</w:t>
      </w:r>
    </w:p>
    <w:p>
      <w:pPr>
        <w:autoSpaceDE w:val="0"/>
        <w:autoSpaceDN w:val="0"/>
        <w:adjustRightInd w:val="0"/>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Owners of residential properties with a market value below the amount as determined annually by the municipality in its budget;</w:t>
      </w:r>
    </w:p>
    <w:p>
      <w:pPr>
        <w:autoSpaceDE w:val="0"/>
        <w:autoSpaceDN w:val="0"/>
        <w:adjustRightInd w:val="0"/>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(e)</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Owners of properties situated in “privately owned towns” as referred to in clause 14.1 (b);</w:t>
      </w:r>
    </w:p>
    <w:p>
      <w:pPr>
        <w:autoSpaceDE w:val="0"/>
        <w:autoSpaceDN w:val="0"/>
        <w:adjustRightInd w:val="0"/>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(f)</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Owners of agricultural properties as referred to in clause 14.1 (c); and</w:t>
      </w:r>
    </w:p>
    <w:p>
      <w:pPr>
        <w:autoSpaceDE w:val="0"/>
        <w:autoSpaceDN w:val="0"/>
        <w:adjustRightInd w:val="0"/>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(g)</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Child headed families where any child of the owner or child who is a blood relative of the owner of the property, is responsible for the care of siblings or parents of the household.</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25" w:name="_Toc215922536"/>
      <w:r>
        <w:rPr>
          <w:rFonts w:ascii="Arial" w:hAnsi="Arial" w:cs="Arial"/>
          <w:color w:val="000000" w:themeColor="text1"/>
          <w:sz w:val="22"/>
          <w:szCs w:val="22"/>
          <w14:textFill>
            <w14:solidFill>
              <w14:schemeClr w14:val="tx1"/>
            </w14:solidFill>
          </w14:textFill>
        </w:rPr>
        <w:t>10.</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PROPERTIES USED FOR MULTIPLE PURPOSES</w:t>
      </w:r>
      <w:bookmarkEnd w:id="25"/>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10.1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Rates on properties used for multiple purposes will be levied in accordance with the “dominant use of the property”.</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26" w:name="_Toc215922537"/>
      <w:r>
        <w:rPr>
          <w:rFonts w:ascii="Arial" w:hAnsi="Arial" w:cs="Arial"/>
          <w:color w:val="000000" w:themeColor="text1"/>
          <w:sz w:val="22"/>
          <w:szCs w:val="22"/>
          <w14:textFill>
            <w14:solidFill>
              <w14:schemeClr w14:val="tx1"/>
            </w14:solidFill>
          </w14:textFill>
        </w:rPr>
        <w:t>11.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DIFFERENTIAL RATING</w:t>
      </w:r>
      <w:bookmarkEnd w:id="26"/>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11.1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Criteria for differential rating on different categories of properties will be according to:-</w:t>
      </w:r>
    </w:p>
    <w:p>
      <w:pPr>
        <w:spacing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nature of the property including its sensitivity to rating e.g. agricultural properties used for agricultural purposes.</w:t>
      </w:r>
    </w:p>
    <w:p>
      <w:pPr>
        <w:autoSpaceDE w:val="0"/>
        <w:autoSpaceDN w:val="0"/>
        <w:adjustRightInd w:val="0"/>
        <w:spacing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promotion of local, social and economic development of the municipality.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11.2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Differential rating among the various property categories will be done by way of:-</w:t>
      </w:r>
    </w:p>
    <w:p>
      <w:pPr>
        <w:spacing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setting different cent amount in the rand for each property category; and</w:t>
      </w:r>
    </w:p>
    <w:p>
      <w:pPr>
        <w:spacing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by way of reductions and rebates as provided for in this policy document.</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27" w:name="_Toc215922538"/>
      <w:r>
        <w:rPr>
          <w:rFonts w:ascii="Arial" w:hAnsi="Arial" w:cs="Arial"/>
          <w:color w:val="000000" w:themeColor="text1"/>
          <w:sz w:val="22"/>
          <w:szCs w:val="22"/>
          <w14:textFill>
            <w14:solidFill>
              <w14:schemeClr w14:val="tx1"/>
            </w14:solidFill>
          </w14:textFill>
        </w:rPr>
        <w:t>12.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EXEMPTIONS AND IMPERMISSIBLE RATES</w:t>
      </w:r>
      <w:bookmarkEnd w:id="27"/>
    </w:p>
    <w:p>
      <w:pPr>
        <w:spacing w:before="240" w:line="360" w:lineRule="auto"/>
        <w:ind w:left="705" w:hanging="705"/>
        <w:jc w:val="both"/>
        <w:rPr>
          <w:rFonts w:ascii="Arial" w:hAnsi="Arial" w:cs="Arial"/>
          <w:bCs/>
          <w:color w:val="000000" w:themeColor="text1"/>
          <w:sz w:val="22"/>
          <w:szCs w:val="22"/>
          <w14:textFill>
            <w14:solidFill>
              <w14:schemeClr w14:val="tx1"/>
            </w14:solidFill>
          </w14:textFill>
        </w:rPr>
      </w:pPr>
      <w:r>
        <w:rPr>
          <w:rFonts w:ascii="Arial" w:hAnsi="Arial" w:cs="Arial"/>
          <w:bCs/>
          <w:color w:val="000000" w:themeColor="text1"/>
          <w:sz w:val="22"/>
          <w:szCs w:val="22"/>
          <w14:textFill>
            <w14:solidFill>
              <w14:schemeClr w14:val="tx1"/>
            </w14:solidFill>
          </w14:textFill>
        </w:rPr>
        <w:t>12.1</w:t>
      </w:r>
      <w:r>
        <w:rPr>
          <w:rFonts w:ascii="Arial" w:hAnsi="Arial" w:cs="Arial"/>
          <w:bCs/>
          <w:color w:val="000000" w:themeColor="text1"/>
          <w:sz w:val="22"/>
          <w:szCs w:val="22"/>
          <w14:textFill>
            <w14:solidFill>
              <w14:schemeClr w14:val="tx1"/>
            </w14:solidFill>
          </w14:textFill>
        </w:rPr>
        <w:tab/>
      </w:r>
      <w:r>
        <w:rPr>
          <w:rFonts w:ascii="Arial" w:hAnsi="Arial" w:cs="Arial"/>
          <w:bCs/>
          <w:color w:val="000000" w:themeColor="text1"/>
          <w:sz w:val="22"/>
          <w:szCs w:val="22"/>
          <w14:textFill>
            <w14:solidFill>
              <w14:schemeClr w14:val="tx1"/>
            </w14:solidFill>
          </w14:textFill>
        </w:rPr>
        <w:t>The following categories of property are exempted from rates:-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Municipal properties</w:t>
      </w: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Municipal properties are exempted from paying rates as it will increase the rates burden or service charges to property owners or consumers. However, where municipal properties are leased, the lessee will be responsible for the payment of determined assessment rates in accordance with the lease agreement.</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 (b)</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Residential properties</w:t>
      </w: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All residential properties with a market value of less than the amount as annually determined by the municipality are exempted from paying rates. </w:t>
      </w:r>
      <w:r>
        <w:rPr>
          <w:rFonts w:ascii="Arial" w:hAnsi="Arial" w:cs="Arial"/>
          <w:b/>
          <w:color w:val="000000" w:themeColor="text1"/>
          <w:sz w:val="22"/>
          <w:szCs w:val="22"/>
          <w14:textFill>
            <w14:solidFill>
              <w14:schemeClr w14:val="tx1"/>
            </w14:solidFill>
          </w14:textFill>
        </w:rPr>
        <w:t>For the 201</w:t>
      </w:r>
      <w:r>
        <w:rPr>
          <w:rFonts w:ascii="Arial" w:hAnsi="Arial" w:cs="Arial"/>
          <w:b/>
          <w:color w:val="000000" w:themeColor="text1"/>
          <w:sz w:val="22"/>
          <w:szCs w:val="22"/>
          <w:lang w:val="en-ZA"/>
          <w14:textFill>
            <w14:solidFill>
              <w14:schemeClr w14:val="tx1"/>
            </w14:solidFill>
          </w14:textFill>
        </w:rPr>
        <w:t>7</w:t>
      </w:r>
      <w:r>
        <w:rPr>
          <w:rFonts w:ascii="Arial" w:hAnsi="Arial" w:cs="Arial"/>
          <w:b/>
          <w:color w:val="000000" w:themeColor="text1"/>
          <w:sz w:val="22"/>
          <w:szCs w:val="22"/>
          <w14:textFill>
            <w14:solidFill>
              <w14:schemeClr w14:val="tx1"/>
            </w14:solidFill>
          </w14:textFill>
        </w:rPr>
        <w:t>/201</w:t>
      </w:r>
      <w:r>
        <w:rPr>
          <w:rFonts w:ascii="Arial" w:hAnsi="Arial" w:cs="Arial"/>
          <w:b/>
          <w:color w:val="000000" w:themeColor="text1"/>
          <w:sz w:val="22"/>
          <w:szCs w:val="22"/>
          <w:lang w:val="en-ZA"/>
          <w14:textFill>
            <w14:solidFill>
              <w14:schemeClr w14:val="tx1"/>
            </w14:solidFill>
          </w14:textFill>
        </w:rPr>
        <w:t>8</w:t>
      </w:r>
      <w:r>
        <w:rPr>
          <w:rFonts w:ascii="Arial" w:hAnsi="Arial" w:cs="Arial"/>
          <w:b/>
          <w:color w:val="000000" w:themeColor="text1"/>
          <w:sz w:val="22"/>
          <w:szCs w:val="22"/>
          <w14:textFill>
            <w14:solidFill>
              <w14:schemeClr w14:val="tx1"/>
            </w14:solidFill>
          </w14:textFill>
        </w:rPr>
        <w:t xml:space="preserve"> financial year the maximum reduction is determined as R30 000.</w:t>
      </w:r>
      <w:r>
        <w:rPr>
          <w:rFonts w:ascii="Arial" w:hAnsi="Arial" w:cs="Arial"/>
          <w:color w:val="000000" w:themeColor="text1"/>
          <w:sz w:val="22"/>
          <w:szCs w:val="22"/>
          <w14:textFill>
            <w14:solidFill>
              <w14:schemeClr w14:val="tx1"/>
            </w14:solidFill>
          </w14:textFill>
        </w:rPr>
        <w:t xml:space="preserve"> The impermissible rates of R15 000 contemplated in terms of section 17(1) (h) of the Property Rates Act is included in the amount referred to above as annually determined by the municipality. The remaining R15 000 is an important part of the council’s indigent policy and is aimed primarily at alleviating poverty. </w:t>
      </w:r>
    </w:p>
    <w:p>
      <w:pPr>
        <w:spacing w:line="360" w:lineRule="auto"/>
        <w:ind w:left="709"/>
        <w:jc w:val="both"/>
        <w:rPr>
          <w:rFonts w:ascii="Arial" w:hAnsi="Arial" w:cs="Arial"/>
          <w:color w:val="000000" w:themeColor="text1"/>
          <w:sz w:val="22"/>
          <w:szCs w:val="22"/>
          <w14:textFill>
            <w14:solidFill>
              <w14:schemeClr w14:val="tx1"/>
            </w14:solidFill>
          </w14:textFill>
        </w:rPr>
      </w:pP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In addition to the above; 10% be added as an additional reduction on the market value of a property used for residential purposes a property will be granted and 5% be added as an additional reduction on the market value of a property used for Business purposes in terms of the Municipality’s Property Rates Policy.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Public Service Infrastructure</w:t>
      </w: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Is exempted from paying rates as allowed for in the Act as they provide essential services to the community.</w:t>
      </w:r>
    </w:p>
    <w:p>
      <w:pPr>
        <w:spacing w:before="240" w:line="360" w:lineRule="auto"/>
        <w:jc w:val="both"/>
        <w:rPr>
          <w:rFonts w:ascii="Arial" w:hAnsi="Arial" w:cs="Arial"/>
          <w:color w:val="000000" w:themeColor="text1"/>
          <w:sz w:val="22"/>
          <w:szCs w:val="22"/>
          <w:u w:val="single"/>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Right registered against a property</w:t>
      </w: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Any right registered against a property as defined in clause 3.14(b) of this policy is exempted from paying rates.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12.2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Exemptions in clause 12.1 will automatically apply and no application is thus required.</w:t>
      </w:r>
    </w:p>
    <w:p>
      <w:pPr>
        <w:spacing w:before="240" w:line="360" w:lineRule="auto"/>
        <w:ind w:left="705" w:hanging="705"/>
        <w:jc w:val="both"/>
        <w:rPr>
          <w:rFonts w:ascii="Arial" w:hAnsi="Arial" w:cs="Arial"/>
          <w:bCs/>
          <w:color w:val="000000" w:themeColor="text1"/>
          <w:sz w:val="22"/>
          <w:szCs w:val="22"/>
          <w14:textFill>
            <w14:solidFill>
              <w14:schemeClr w14:val="tx1"/>
            </w14:solidFill>
          </w14:textFill>
        </w:rPr>
      </w:pPr>
      <w:r>
        <w:rPr>
          <w:rFonts w:ascii="Arial" w:hAnsi="Arial" w:cs="Arial"/>
          <w:bCs/>
          <w:color w:val="000000" w:themeColor="text1"/>
          <w:sz w:val="22"/>
          <w:szCs w:val="22"/>
          <w14:textFill>
            <w14:solidFill>
              <w14:schemeClr w14:val="tx1"/>
            </w14:solidFill>
          </w14:textFill>
        </w:rPr>
        <w:t>12.3</w:t>
      </w:r>
      <w:r>
        <w:rPr>
          <w:rFonts w:ascii="Arial" w:hAnsi="Arial" w:cs="Arial"/>
          <w:bCs/>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Impermissible</w:t>
      </w:r>
      <w:r>
        <w:rPr>
          <w:rFonts w:ascii="Arial" w:hAnsi="Arial" w:cs="Arial"/>
          <w:b/>
          <w:bCs/>
          <w:i/>
          <w:color w:val="000000" w:themeColor="text1"/>
          <w:sz w:val="22"/>
          <w:szCs w:val="22"/>
          <w14:textFill>
            <w14:solidFill>
              <w14:schemeClr w14:val="tx1"/>
            </w14:solidFill>
          </w14:textFill>
        </w:rPr>
        <w:t xml:space="preserve"> Rates</w:t>
      </w:r>
      <w:r>
        <w:rPr>
          <w:rFonts w:ascii="Arial" w:hAnsi="Arial" w:cs="Arial"/>
          <w:bCs/>
          <w:color w:val="000000" w:themeColor="text1"/>
          <w:sz w:val="22"/>
          <w:szCs w:val="22"/>
          <w:u w:val="single"/>
          <w14:textFill>
            <w14:solidFill>
              <w14:schemeClr w14:val="tx1"/>
            </w14:solidFill>
          </w14:textFill>
        </w:rPr>
        <w:t>:</w:t>
      </w:r>
      <w:r>
        <w:rPr>
          <w:rFonts w:ascii="Arial" w:hAnsi="Arial" w:cs="Arial"/>
          <w:bCs/>
          <w:color w:val="000000" w:themeColor="text1"/>
          <w:sz w:val="22"/>
          <w:szCs w:val="22"/>
          <w14:textFill>
            <w14:solidFill>
              <w14:schemeClr w14:val="tx1"/>
            </w14:solidFill>
          </w14:textFill>
        </w:rPr>
        <w:t xml:space="preserve"> In </w:t>
      </w:r>
      <w:r>
        <w:rPr>
          <w:rFonts w:ascii="Arial" w:hAnsi="Arial" w:cs="Arial"/>
          <w:color w:val="000000" w:themeColor="text1"/>
          <w:sz w:val="22"/>
          <w:szCs w:val="22"/>
          <w14:textFill>
            <w14:solidFill>
              <w14:schemeClr w14:val="tx1"/>
            </w14:solidFill>
          </w14:textFill>
        </w:rPr>
        <w:t>terms</w:t>
      </w:r>
      <w:r>
        <w:rPr>
          <w:rFonts w:ascii="Arial" w:hAnsi="Arial" w:cs="Arial"/>
          <w:bCs/>
          <w:color w:val="000000" w:themeColor="text1"/>
          <w:sz w:val="22"/>
          <w:szCs w:val="22"/>
          <w14:textFill>
            <w14:solidFill>
              <w14:schemeClr w14:val="tx1"/>
            </w14:solidFill>
          </w14:textFill>
        </w:rPr>
        <w:t xml:space="preserve"> of section </w:t>
      </w:r>
      <w:r>
        <w:rPr>
          <w:rFonts w:ascii="Arial" w:hAnsi="Arial" w:cs="Arial"/>
          <w:color w:val="000000" w:themeColor="text1"/>
          <w:sz w:val="22"/>
          <w:szCs w:val="22"/>
          <w14:textFill>
            <w14:solidFill>
              <w14:schemeClr w14:val="tx1"/>
            </w14:solidFill>
          </w14:textFill>
        </w:rPr>
        <w:t>17(1) of the Property Rates Act</w:t>
      </w:r>
      <w:r>
        <w:rPr>
          <w:rFonts w:ascii="Arial" w:hAnsi="Arial" w:cs="Arial"/>
          <w:bCs/>
          <w:color w:val="000000" w:themeColor="text1"/>
          <w:sz w:val="22"/>
          <w:szCs w:val="22"/>
          <w14:textFill>
            <w14:solidFill>
              <w14:schemeClr w14:val="tx1"/>
            </w14:solidFill>
          </w14:textFill>
        </w:rPr>
        <w:t xml:space="preserve"> the municipality may, inter alia, not levy a rate:-</w:t>
      </w:r>
    </w:p>
    <w:p>
      <w:pPr>
        <w:numPr>
          <w:ilvl w:val="0"/>
          <w:numId w:val="2"/>
        </w:numPr>
        <w:tabs>
          <w:tab w:val="left" w:pos="1418"/>
          <w:tab w:val="clear" w:pos="1080"/>
        </w:tabs>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On those parts of a special nature reserve, national park or nature reserve within the meaning of the National Environmental Management: Protected Areas Act, 2003 (Act No. 57 of 2003) or of a national botanical garden within the meaning of the National Environmental Management: Biodiversity Act, 2004, which are not developed or used for commercial, business, or residential agricultural purposes.</w:t>
      </w:r>
    </w:p>
    <w:p>
      <w:pPr>
        <w:numPr>
          <w:ilvl w:val="0"/>
          <w:numId w:val="2"/>
        </w:numPr>
        <w:tabs>
          <w:tab w:val="left" w:pos="1418"/>
          <w:tab w:val="clear" w:pos="1080"/>
        </w:tabs>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On mineral rights within the meaning of paragraph (b) of the definition of “property” in section 1 of the Act.</w:t>
      </w:r>
    </w:p>
    <w:p>
      <w:pPr>
        <w:numPr>
          <w:ilvl w:val="0"/>
          <w:numId w:val="2"/>
        </w:numPr>
        <w:tabs>
          <w:tab w:val="left" w:pos="1418"/>
          <w:tab w:val="clear" w:pos="1080"/>
        </w:tabs>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On a property belonging to a land reform beneficiary or his or her heirs, provided that this exclusion lapses ten years from the date on which such beneficiary’s title was registered in the office of the Registrar of Deeds.</w:t>
      </w:r>
    </w:p>
    <w:p>
      <w:pPr>
        <w:numPr>
          <w:ilvl w:val="0"/>
          <w:numId w:val="2"/>
        </w:numPr>
        <w:tabs>
          <w:tab w:val="left" w:pos="1418"/>
          <w:tab w:val="clear" w:pos="1080"/>
        </w:tabs>
        <w:spacing w:line="360" w:lineRule="auto"/>
        <w:ind w:left="1418" w:hanging="69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On a property registered in the name of </w:t>
      </w:r>
      <w:r>
        <w:rPr>
          <w:rFonts w:ascii="Arial" w:hAnsi="Arial" w:cs="Arial"/>
          <w:color w:val="000000" w:themeColor="text1"/>
          <w:sz w:val="22"/>
          <w:szCs w:val="22"/>
          <w:u w:val="single"/>
          <w14:textFill>
            <w14:solidFill>
              <w14:schemeClr w14:val="tx1"/>
            </w14:solidFill>
          </w14:textFill>
        </w:rPr>
        <w:t>and</w:t>
      </w:r>
      <w:r>
        <w:rPr>
          <w:rFonts w:ascii="Arial" w:hAnsi="Arial" w:cs="Arial"/>
          <w:color w:val="000000" w:themeColor="text1"/>
          <w:sz w:val="22"/>
          <w:szCs w:val="22"/>
          <w14:textFill>
            <w14:solidFill>
              <w14:schemeClr w14:val="tx1"/>
            </w14:solidFill>
          </w14:textFill>
        </w:rPr>
        <w:t xml:space="preserve"> used primarily as a place of public worship by a religious community, including an official residence registered in the name of that community which is occupied by an office-bearer of that community who officiates at services at that place of worship.</w:t>
      </w:r>
    </w:p>
    <w:p>
      <w:pPr>
        <w:spacing w:before="240" w:line="360" w:lineRule="auto"/>
        <w:ind w:left="705" w:hanging="705"/>
        <w:jc w:val="both"/>
        <w:rPr>
          <w:rFonts w:ascii="Arial" w:hAnsi="Arial" w:cs="Arial"/>
          <w:b/>
          <w:i/>
          <w:color w:val="000000" w:themeColor="text1"/>
          <w:sz w:val="22"/>
          <w:szCs w:val="22"/>
          <w14:textFill>
            <w14:solidFill>
              <w14:schemeClr w14:val="tx1"/>
            </w14:solidFill>
          </w14:textFill>
        </w:rPr>
      </w:pPr>
      <w:bookmarkStart w:id="28" w:name="_Toc215922539"/>
      <w:r>
        <w:rPr>
          <w:rFonts w:ascii="Arial" w:hAnsi="Arial" w:cs="Arial"/>
          <w:color w:val="000000" w:themeColor="text1"/>
          <w:sz w:val="22"/>
          <w:szCs w:val="22"/>
          <w14:textFill>
            <w14:solidFill>
              <w14:schemeClr w14:val="tx1"/>
            </w14:solidFill>
          </w14:textFill>
        </w:rPr>
        <w:t>12.4</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Public Benefit Organisations (PBO’s)</w:t>
      </w:r>
    </w:p>
    <w:p>
      <w:pPr>
        <w:spacing w:line="360" w:lineRule="auto"/>
        <w:ind w:left="709"/>
        <w:jc w:val="both"/>
        <w:rPr>
          <w:rFonts w:ascii="Arial" w:hAnsi="Arial" w:cs="Arial"/>
          <w:i/>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Taking into account the effects of rates on PBOs performing a specific public benefit activity and if registered in terms of the Income Tax Act, 1962 (No 58 of 1962) for tax reduction because of those activities, Public Benefit Organizations may apply for the exemption or reduction up to 40% of property rates. Public Benefit Organizations may include, inter alia:-</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Welfare and humanitarian</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For example PBOs providing disaster relief.</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Health Care</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For example PBO’s providing counseling and treatment of persons afflicted with HIV and AIDS including the care of their families and dependents in this regard.</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Education and development</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For example PBO’s providing early childhood development services for pre-school children.</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Sporting bodies</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Property used by an organization for sporting purposes on a non-professional basis:</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Cultural institutions</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Property used for purposes declared in terms of the Cultural Institutions Act, Act 29 of 1969 or the Cultural Institutions Act, Act 66 of 1989.</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Museums, libraries, art galleries and botanical gardens</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Property registered in the name of private persons, open to the public and not operated for gain.</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Animal welfare</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Property owned or used by organizations whose exclusive aim is to protect birds, reptiles and animals on a not-for-gain basis.</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Cemeteries and crematoriums</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Property used for cemeteries and crematoriums.</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Welfare institutions</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Properties used exclusively as an orphanage, non-profit retirement villages, old age homes or benevolent/charitable institutions, including workshops used by the inmates, laundry or cafeteria facilities; provided that any profits from the use of the property are used entirely for the benefit of the institution and/or to charitable purposes within the municipality.</w:t>
      </w:r>
    </w:p>
    <w:p>
      <w:pPr>
        <w:numPr>
          <w:ilvl w:val="0"/>
          <w:numId w:val="3"/>
        </w:numPr>
        <w:tabs>
          <w:tab w:val="left" w:pos="1418"/>
          <w:tab w:val="clear" w:pos="1080"/>
        </w:tabs>
        <w:spacing w:line="360" w:lineRule="auto"/>
        <w:ind w:left="1418" w:hanging="698"/>
        <w:jc w:val="both"/>
        <w:rPr>
          <w:rFonts w:ascii="Arial" w:hAnsi="Arial" w:cs="Arial"/>
          <w:i/>
          <w:color w:val="000000" w:themeColor="text1"/>
          <w:sz w:val="22"/>
          <w:szCs w:val="22"/>
          <w14:textFill>
            <w14:solidFill>
              <w14:schemeClr w14:val="tx1"/>
            </w14:solidFill>
          </w14:textFill>
        </w:rPr>
      </w:pPr>
      <w:r>
        <w:rPr>
          <w:rFonts w:ascii="Arial" w:hAnsi="Arial" w:cs="Arial"/>
          <w:i/>
          <w:color w:val="000000" w:themeColor="text1"/>
          <w:sz w:val="22"/>
          <w:szCs w:val="22"/>
          <w14:textFill>
            <w14:solidFill>
              <w14:schemeClr w14:val="tx1"/>
            </w14:solidFill>
          </w14:textFill>
        </w:rPr>
        <w:t>Charitable institutions</w:t>
      </w:r>
    </w:p>
    <w:p>
      <w:pPr>
        <w:tabs>
          <w:tab w:val="left" w:pos="1418"/>
        </w:tabs>
        <w:spacing w:line="360" w:lineRule="auto"/>
        <w:ind w:left="1418"/>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Property owned or used by institutions or organizations whose aim is to perform charitable work on a not-for-gain basis.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12.5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All possible benefiting organisations in clause 12.4 must apply annually for exemptions. All applications must be addressed in writing to the municipality by 31 August for the financial year in respect of which the rate is levied. If the exemption applied for is granted the exemption will apply for the full financial year.</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12.6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Public benefit organisations must attach a SARS tax exemption certificate issued by the South African Revenue Services (SARS) as contemplated in Part 1 of the Ninth Schedule of the Income Tax Act, 1962 (No 58 of 1962) to all applications.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12.7</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retains the right to refuse the exemption if the details supplied in the application form were incomplete, incorrect or false.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12.8</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extent of the exemptions implemented in terms of clauses 12.1 to 12.4 must annually be determined by the municipality and included in the annual budget.</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REDUCTIONS</w:t>
      </w:r>
      <w:bookmarkEnd w:id="28"/>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Reductions as contemplated in section 15 of the Act will be considered on an </w:t>
      </w:r>
      <w:r>
        <w:rPr>
          <w:rFonts w:ascii="Arial" w:hAnsi="Arial" w:cs="Arial"/>
          <w:i/>
          <w:color w:val="000000" w:themeColor="text1"/>
          <w:sz w:val="22"/>
          <w:szCs w:val="22"/>
          <w14:textFill>
            <w14:solidFill>
              <w14:schemeClr w14:val="tx1"/>
            </w14:solidFill>
          </w14:textFill>
        </w:rPr>
        <w:t xml:space="preserve">ad-hoc </w:t>
      </w:r>
      <w:r>
        <w:rPr>
          <w:rFonts w:ascii="Arial" w:hAnsi="Arial" w:cs="Arial"/>
          <w:color w:val="000000" w:themeColor="text1"/>
          <w:sz w:val="22"/>
          <w:szCs w:val="22"/>
          <w14:textFill>
            <w14:solidFill>
              <w14:schemeClr w14:val="tx1"/>
            </w14:solidFill>
          </w14:textFill>
        </w:rPr>
        <w:t>basis in the event of the following:-</w:t>
      </w:r>
    </w:p>
    <w:p>
      <w:pPr>
        <w:spacing w:before="240" w:line="360" w:lineRule="auto"/>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13.1.1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Partial or total destruction of a property.</w:t>
      </w:r>
    </w:p>
    <w:p>
      <w:pPr>
        <w:spacing w:before="240" w:line="360" w:lineRule="auto"/>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13.1.2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Disasters as defined in the Disaster Management Act, 2002 (Act 57 of 2002).</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following conditions shall be applicable in respect of clause 13.1:-</w:t>
      </w:r>
    </w:p>
    <w:p>
      <w:pPr>
        <w:spacing w:before="240" w:line="360" w:lineRule="auto"/>
        <w:ind w:left="1418" w:hanging="65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13.2.1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owner referred to in clause 13.1.1 shall apply in writing for a reduction and the onus will rest on such applicant to prove to the satisfaction of the municipality that his property has been totally or partially destroyed. He/ she will also have to indicate to what extent the property can still be used and the impact on the value of the property.  </w:t>
      </w:r>
    </w:p>
    <w:p>
      <w:pPr>
        <w:spacing w:before="240" w:line="360" w:lineRule="auto"/>
        <w:ind w:left="1418" w:hanging="65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13.2.2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Property owners will only qualify for a rebate if affected by a disaster as referred to in the Disaster Management Act, 2002 (Act No. 57 of 2002). </w:t>
      </w:r>
    </w:p>
    <w:p>
      <w:pPr>
        <w:spacing w:before="240" w:line="360" w:lineRule="auto"/>
        <w:ind w:left="1418" w:hanging="65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13.2.3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A maximum reduction to be determined on an annual basis shall be allowed in respect of both clauses 13.1.1 and 13.1.2. </w:t>
      </w:r>
      <w:r>
        <w:rPr>
          <w:rFonts w:ascii="Arial" w:hAnsi="Arial" w:cs="Arial"/>
          <w:b/>
          <w:color w:val="000000" w:themeColor="text1"/>
          <w:sz w:val="22"/>
          <w:szCs w:val="22"/>
          <w14:textFill>
            <w14:solidFill>
              <w14:schemeClr w14:val="tx1"/>
            </w14:solidFill>
          </w14:textFill>
        </w:rPr>
        <w:t>For the 201</w:t>
      </w:r>
      <w:r>
        <w:rPr>
          <w:rFonts w:ascii="Arial" w:hAnsi="Arial" w:cs="Arial"/>
          <w:b/>
          <w:color w:val="000000" w:themeColor="text1"/>
          <w:sz w:val="22"/>
          <w:szCs w:val="22"/>
          <w:lang w:val="en-ZA"/>
          <w14:textFill>
            <w14:solidFill>
              <w14:schemeClr w14:val="tx1"/>
            </w14:solidFill>
          </w14:textFill>
        </w:rPr>
        <w:t>7</w:t>
      </w:r>
      <w:r>
        <w:rPr>
          <w:rFonts w:ascii="Arial" w:hAnsi="Arial" w:cs="Arial"/>
          <w:b/>
          <w:color w:val="000000" w:themeColor="text1"/>
          <w:sz w:val="22"/>
          <w:szCs w:val="22"/>
          <w14:textFill>
            <w14:solidFill>
              <w14:schemeClr w14:val="tx1"/>
            </w14:solidFill>
          </w14:textFill>
        </w:rPr>
        <w:t>/201</w:t>
      </w:r>
      <w:r>
        <w:rPr>
          <w:rFonts w:ascii="Arial" w:hAnsi="Arial" w:cs="Arial"/>
          <w:b/>
          <w:color w:val="000000" w:themeColor="text1"/>
          <w:sz w:val="22"/>
          <w:szCs w:val="22"/>
          <w:lang w:val="en-ZA"/>
          <w14:textFill>
            <w14:solidFill>
              <w14:schemeClr w14:val="tx1"/>
            </w14:solidFill>
          </w14:textFill>
        </w:rPr>
        <w:t>8</w:t>
      </w:r>
      <w:r>
        <w:rPr>
          <w:rFonts w:ascii="Arial" w:hAnsi="Arial" w:cs="Arial"/>
          <w:b/>
          <w:color w:val="000000" w:themeColor="text1"/>
          <w:sz w:val="22"/>
          <w:szCs w:val="22"/>
          <w14:textFill>
            <w14:solidFill>
              <w14:schemeClr w14:val="tx1"/>
            </w14:solidFill>
          </w14:textFill>
        </w:rPr>
        <w:t xml:space="preserve"> financial year</w:t>
      </w:r>
      <w:r>
        <w:rPr>
          <w:rFonts w:ascii="Arial" w:hAnsi="Arial" w:cs="Arial"/>
          <w:color w:val="000000" w:themeColor="text1"/>
          <w:sz w:val="22"/>
          <w:szCs w:val="22"/>
          <w14:textFill>
            <w14:solidFill>
              <w14:schemeClr w14:val="tx1"/>
            </w14:solidFill>
          </w14:textFill>
        </w:rPr>
        <w:t xml:space="preserve"> th</w:t>
      </w:r>
      <w:r>
        <w:rPr>
          <w:rFonts w:ascii="Arial" w:hAnsi="Arial" w:cs="Arial"/>
          <w:color w:val="000000" w:themeColor="text1"/>
          <w:sz w:val="22"/>
          <w:szCs w:val="22"/>
          <w:lang w:val="en-ZA"/>
          <w14:textFill>
            <w14:solidFill>
              <w14:schemeClr w14:val="tx1"/>
            </w14:solidFill>
          </w14:textFill>
        </w:rPr>
        <w:t>e</w:t>
      </w:r>
      <w:r>
        <w:rPr>
          <w:rFonts w:ascii="Arial" w:hAnsi="Arial" w:cs="Arial"/>
          <w:b/>
          <w:color w:val="000000" w:themeColor="text1"/>
          <w:sz w:val="22"/>
          <w:szCs w:val="22"/>
          <w14:textFill>
            <w14:solidFill>
              <w14:schemeClr w14:val="tx1"/>
            </w14:solidFill>
          </w14:textFill>
        </w:rPr>
        <w:t xml:space="preserve"> reduction is determined as 40%.</w:t>
      </w:r>
    </w:p>
    <w:p>
      <w:pPr>
        <w:spacing w:before="240" w:line="360" w:lineRule="auto"/>
        <w:ind w:left="1418" w:hanging="65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13.2.4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An ad-hoc reduction will not be given for a period in excess of 6 months, unless the municipality gives further extension on application.</w:t>
      </w:r>
    </w:p>
    <w:p>
      <w:pPr>
        <w:spacing w:before="240" w:line="360" w:lineRule="auto"/>
        <w:ind w:left="1418" w:hanging="65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13.2.5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If rates were paid in advance prior to granting of a reduction the municipality will give credit to such an owner as from the date of reduction until the date of lapse of the reduction or the end of the period for which payment was made whichever occurs first. </w:t>
      </w:r>
    </w:p>
    <w:p>
      <w:pPr>
        <w:spacing w:before="240" w:line="360" w:lineRule="auto"/>
        <w:ind w:left="1418" w:hanging="650"/>
        <w:jc w:val="both"/>
        <w:rPr>
          <w:rFonts w:ascii="Arial" w:hAnsi="Arial" w:cs="Arial"/>
          <w:color w:val="000000" w:themeColor="text1"/>
          <w:sz w:val="22"/>
          <w:szCs w:val="22"/>
          <w:lang w:val="en-ZA"/>
          <w14:textFill>
            <w14:solidFill>
              <w14:schemeClr w14:val="tx1"/>
            </w14:solidFill>
          </w14:textFill>
        </w:rPr>
      </w:pPr>
      <w:r>
        <w:rPr>
          <w:rFonts w:ascii="Arial" w:hAnsi="Arial" w:cs="Arial"/>
          <w:color w:val="000000" w:themeColor="text1"/>
          <w:sz w:val="22"/>
          <w:szCs w:val="22"/>
          <w:lang w:val="en-ZA"/>
          <w14:textFill>
            <w14:solidFill>
              <w14:schemeClr w14:val="tx1"/>
            </w14:solidFill>
          </w14:textFill>
        </w:rPr>
        <w:t>13.2.6 The following is the qualifying criteria:</w:t>
      </w:r>
    </w:p>
    <w:p>
      <w:pPr>
        <w:numPr>
          <w:ilvl w:val="0"/>
          <w:numId w:val="4"/>
        </w:numPr>
        <w:spacing w:before="240" w:line="360" w:lineRule="auto"/>
        <w:ind w:left="2100" w:leftChars="0" w:hanging="420" w:firstLineChars="0"/>
        <w:jc w:val="both"/>
        <w:rPr>
          <w:rFonts w:ascii="Arial" w:hAnsi="Arial" w:cs="Arial"/>
          <w:color w:val="000000" w:themeColor="text1"/>
          <w:sz w:val="22"/>
          <w:szCs w:val="22"/>
          <w:lang w:val="en-ZA"/>
          <w14:textFill>
            <w14:solidFill>
              <w14:schemeClr w14:val="tx1"/>
            </w14:solidFill>
          </w14:textFill>
        </w:rPr>
      </w:pPr>
      <w:r>
        <w:rPr>
          <w:rFonts w:ascii="Arial" w:hAnsi="Arial" w:cs="Arial"/>
          <w:color w:val="000000" w:themeColor="text1"/>
          <w:sz w:val="22"/>
          <w:szCs w:val="22"/>
          <w:lang w:val="en-ZA"/>
          <w14:textFill>
            <w14:solidFill>
              <w14:schemeClr w14:val="tx1"/>
            </w14:solidFill>
          </w14:textFill>
        </w:rPr>
        <w:t>Registered NGO with the relevant department and SARS</w:t>
      </w:r>
    </w:p>
    <w:p>
      <w:pPr>
        <w:numPr>
          <w:ilvl w:val="0"/>
          <w:numId w:val="4"/>
        </w:numPr>
        <w:spacing w:before="240" w:line="360" w:lineRule="auto"/>
        <w:ind w:left="2100" w:leftChars="0" w:hanging="420" w:firstLineChars="0"/>
        <w:jc w:val="both"/>
        <w:rPr>
          <w:rFonts w:ascii="Arial" w:hAnsi="Arial" w:cs="Arial"/>
          <w:color w:val="000000" w:themeColor="text1"/>
          <w:sz w:val="22"/>
          <w:szCs w:val="22"/>
          <w:lang w:val="en-ZA"/>
          <w14:textFill>
            <w14:solidFill>
              <w14:schemeClr w14:val="tx1"/>
            </w14:solidFill>
          </w14:textFill>
        </w:rPr>
      </w:pPr>
      <w:r>
        <w:rPr>
          <w:rFonts w:ascii="Arial" w:hAnsi="Arial" w:cs="Arial"/>
          <w:color w:val="000000" w:themeColor="text1"/>
          <w:sz w:val="22"/>
          <w:szCs w:val="22"/>
          <w:lang w:val="en-ZA"/>
          <w14:textFill>
            <w14:solidFill>
              <w14:schemeClr w14:val="tx1"/>
            </w14:solidFill>
          </w14:textFill>
        </w:rPr>
        <w:t>Operating within the boundaries of Ngwathe Municipality</w:t>
      </w:r>
    </w:p>
    <w:p>
      <w:pPr>
        <w:numPr>
          <w:ilvl w:val="0"/>
          <w:numId w:val="4"/>
        </w:numPr>
        <w:spacing w:before="240" w:line="360" w:lineRule="auto"/>
        <w:ind w:left="2100" w:leftChars="0" w:hanging="420" w:firstLineChars="0"/>
        <w:jc w:val="both"/>
        <w:rPr>
          <w:rFonts w:ascii="Arial" w:hAnsi="Arial" w:cs="Arial"/>
          <w:color w:val="000000" w:themeColor="text1"/>
          <w:sz w:val="22"/>
          <w:szCs w:val="22"/>
          <w:lang w:val="en-ZA"/>
          <w14:textFill>
            <w14:solidFill>
              <w14:schemeClr w14:val="tx1"/>
            </w14:solidFill>
          </w14:textFill>
        </w:rPr>
      </w:pPr>
      <w:r>
        <w:rPr>
          <w:rFonts w:ascii="Arial" w:hAnsi="Arial" w:cs="Arial"/>
          <w:color w:val="000000" w:themeColor="text1"/>
          <w:sz w:val="22"/>
          <w:szCs w:val="22"/>
          <w:lang w:val="en-ZA"/>
          <w14:textFill>
            <w14:solidFill>
              <w14:schemeClr w14:val="tx1"/>
            </w14:solidFill>
          </w14:textFill>
        </w:rPr>
        <w:t>Attach the latest audited Financial Statement</w:t>
      </w:r>
    </w:p>
    <w:p>
      <w:pPr>
        <w:numPr>
          <w:ilvl w:val="0"/>
          <w:numId w:val="4"/>
        </w:numPr>
        <w:spacing w:before="240" w:line="360" w:lineRule="auto"/>
        <w:ind w:left="2100" w:leftChars="0" w:hanging="420" w:firstLineChars="0"/>
        <w:jc w:val="both"/>
        <w:rPr>
          <w:rFonts w:ascii="Arial" w:hAnsi="Arial" w:cs="Arial"/>
          <w:color w:val="000000" w:themeColor="text1"/>
          <w:sz w:val="22"/>
          <w:szCs w:val="22"/>
          <w:lang w:val="en-ZA"/>
          <w14:textFill>
            <w14:solidFill>
              <w14:schemeClr w14:val="tx1"/>
            </w14:solidFill>
          </w14:textFill>
        </w:rPr>
      </w:pPr>
      <w:r>
        <w:rPr>
          <w:rFonts w:ascii="Arial" w:hAnsi="Arial" w:cs="Arial"/>
          <w:color w:val="000000" w:themeColor="text1"/>
          <w:sz w:val="22"/>
          <w:szCs w:val="22"/>
          <w:lang w:val="en-ZA"/>
          <w14:textFill>
            <w14:solidFill>
              <w14:schemeClr w14:val="tx1"/>
            </w14:solidFill>
          </w14:textFill>
        </w:rPr>
        <w:t>Apply on the prescribed application form by the 31 August</w:t>
      </w:r>
    </w:p>
    <w:p>
      <w:pPr>
        <w:numPr>
          <w:ilvl w:val="0"/>
          <w:numId w:val="0"/>
        </w:numPr>
        <w:spacing w:before="240" w:line="360" w:lineRule="auto"/>
        <w:ind w:left="1680" w:leftChars="0"/>
        <w:jc w:val="both"/>
        <w:rPr>
          <w:rFonts w:ascii="Arial" w:hAnsi="Arial" w:cs="Arial"/>
          <w:color w:val="000000" w:themeColor="text1"/>
          <w:sz w:val="22"/>
          <w:szCs w:val="22"/>
          <w:lang w:val="en-ZA"/>
          <w14:textFill>
            <w14:solidFill>
              <w14:schemeClr w14:val="tx1"/>
            </w14:solidFill>
          </w14:textFill>
        </w:rPr>
      </w:pP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29" w:name="_Toc215922540"/>
      <w:r>
        <w:rPr>
          <w:rFonts w:ascii="Arial" w:hAnsi="Arial" w:cs="Arial"/>
          <w:color w:val="000000" w:themeColor="text1"/>
          <w:sz w:val="22"/>
          <w:szCs w:val="22"/>
          <w14:textFill>
            <w14:solidFill>
              <w14:schemeClr w14:val="tx1"/>
            </w14:solidFill>
          </w14:textFill>
        </w:rPr>
        <w:t>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REBATES </w:t>
      </w:r>
      <w:bookmarkEnd w:id="29"/>
    </w:p>
    <w:p>
      <w:pPr>
        <w:spacing w:before="240" w:line="360" w:lineRule="auto"/>
        <w:ind w:left="705" w:hanging="705"/>
        <w:jc w:val="both"/>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14.1.</w:t>
      </w:r>
      <w:r>
        <w:rPr>
          <w:rFonts w:ascii="Arial" w:hAnsi="Arial" w:cs="Arial"/>
          <w:b/>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Categories of property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Business, commercial and industrial properties</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may grant rebates to ratable enterprises that promote local, social and economic development in its area of jurisdiction. The following criteria will apply:-</w:t>
      </w:r>
    </w:p>
    <w:p>
      <w:pPr>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job creation in the municipal area;</w:t>
      </w:r>
    </w:p>
    <w:p>
      <w:pPr>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social upliftment of the local community; and</w:t>
      </w:r>
    </w:p>
    <w:p>
      <w:pPr>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creation of infrastructure for the benefit of the community.</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All applications must be addressed in writing to the municipality by 31 August for the financial year in respect of which the rate is levied. If the rebate applied for is granted the rebate will apply for the full financial year. For the 201</w:t>
      </w:r>
      <w:r>
        <w:rPr>
          <w:rFonts w:ascii="Arial" w:hAnsi="Arial" w:cs="Arial"/>
          <w:color w:val="000000" w:themeColor="text1"/>
          <w:sz w:val="22"/>
          <w:szCs w:val="22"/>
          <w:lang w:val="en-ZA"/>
          <w14:textFill>
            <w14:solidFill>
              <w14:schemeClr w14:val="tx1"/>
            </w14:solidFill>
          </w14:textFill>
        </w:rPr>
        <w:t>7</w:t>
      </w:r>
      <w:r>
        <w:rPr>
          <w:rFonts w:ascii="Arial" w:hAnsi="Arial" w:cs="Arial"/>
          <w:color w:val="000000" w:themeColor="text1"/>
          <w:sz w:val="22"/>
          <w:szCs w:val="22"/>
          <w14:textFill>
            <w14:solidFill>
              <w14:schemeClr w14:val="tx1"/>
            </w14:solidFill>
          </w14:textFill>
        </w:rPr>
        <w:t>/201</w:t>
      </w:r>
      <w:r>
        <w:rPr>
          <w:rFonts w:ascii="Arial" w:hAnsi="Arial" w:cs="Arial"/>
          <w:color w:val="000000" w:themeColor="text1"/>
          <w:sz w:val="22"/>
          <w:szCs w:val="22"/>
          <w:lang w:val="en-ZA"/>
          <w14:textFill>
            <w14:solidFill>
              <w14:schemeClr w14:val="tx1"/>
            </w14:solidFill>
          </w14:textFill>
        </w:rPr>
        <w:t>8</w:t>
      </w:r>
      <w:r>
        <w:rPr>
          <w:rFonts w:ascii="Arial" w:hAnsi="Arial" w:cs="Arial"/>
          <w:color w:val="000000" w:themeColor="text1"/>
          <w:sz w:val="22"/>
          <w:szCs w:val="22"/>
          <w14:textFill>
            <w14:solidFill>
              <w14:schemeClr w14:val="tx1"/>
            </w14:solidFill>
          </w14:textFill>
        </w:rPr>
        <w:t xml:space="preserve"> financial year the rebate to the maximum not exceeding 5% will be applicable.</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retains the right to refuse the rebate if the details supplied in the application form were incomplete, incorrect or false.</w:t>
      </w:r>
    </w:p>
    <w:p>
      <w:pPr>
        <w:spacing w:before="240"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Privately owned towns serviced by the owner</w:t>
      </w: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The municipality grants an additional rebate, to be determined on an annual basis, which applies to privately owned towns serviced by the owner qualifying as defined in clause 3.13 of this policy. </w:t>
      </w:r>
    </w:p>
    <w:p>
      <w:pPr>
        <w:spacing w:line="360" w:lineRule="auto"/>
        <w:ind w:left="709"/>
        <w:jc w:val="both"/>
        <w:rPr>
          <w:rFonts w:ascii="Arial" w:hAnsi="Arial" w:cs="Arial"/>
          <w:b/>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All applications must be addressed in writing to the municipality by 31 August for the financial year in respect of which the rate is levied. If the rebate applied for is granted the rebate will apply for the full financial year.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Agricultural property rebate</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When considering the criteria to be applied in respect of any exemptions, rebates and reductions on any properties used for agricultural purposes the municipality must take into account:-</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extent of rates related services rendered by the municipality in respect of such properties.</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contribution of agriculture to the local economy.</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extent to which agriculture assists in meeting the service delivery and developmental objectives of the municipality; and</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contribution of agriculture to the social and economic welfare of farm workers.</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terms of section 84 of the Act the Minister for Provincial and Local Government, and in concurrence with the Minister of Finance as required through section 19 of the Act, may determine that a rate levied by the Council on a category of non-residential property may not exceed the ratio to the rate on residential property. In the absence of any such promulgation the municipality will apply the standard ratio for agricultural properties as 1:0.25 (75% rebates on the tariff for residential properties).  For the 2016/2017 financial year the minister has promulgated a ratio of 1:0.25.</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An additional rebate (based on the total property value) of maximum 10% will be granted by the municipality in respect of the following:-</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2,5% for the provision of accommodation in a permanent structure to farm workers and their dependents.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2,5% if these residential properties are provided with potable water.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2,5% if the farmer for the farm workers electrifies these residential properties.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2,5% for the provision of land for burial to own farm workers or educational or recreational purposes to own farm workers as well as people from surrounding farms. </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iv.</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granting of additional rebates is subject to the following:-</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All applications must be addressed in writing to the municipality by 31 August indicating how service delivery and development obligations of the municipality and contribution to the social and economic welfare of farm workers were met. This application will be required as a once off requirement. Any new applications for the 201</w:t>
      </w:r>
      <w:r>
        <w:rPr>
          <w:rFonts w:ascii="Arial" w:hAnsi="Arial" w:cs="Arial"/>
          <w:color w:val="000000" w:themeColor="text1"/>
          <w:sz w:val="22"/>
          <w:szCs w:val="22"/>
          <w:lang w:val="en-ZA"/>
          <w14:textFill>
            <w14:solidFill>
              <w14:schemeClr w14:val="tx1"/>
            </w14:solidFill>
          </w14:textFill>
        </w:rPr>
        <w:t>7</w:t>
      </w:r>
      <w:r>
        <w:rPr>
          <w:rFonts w:ascii="Arial" w:hAnsi="Arial" w:cs="Arial"/>
          <w:color w:val="000000" w:themeColor="text1"/>
          <w:sz w:val="22"/>
          <w:szCs w:val="22"/>
          <w14:textFill>
            <w14:solidFill>
              <w14:schemeClr w14:val="tx1"/>
            </w14:solidFill>
          </w14:textFill>
        </w:rPr>
        <w:t>/201</w:t>
      </w:r>
      <w:r>
        <w:rPr>
          <w:rFonts w:ascii="Arial" w:hAnsi="Arial" w:cs="Arial"/>
          <w:color w:val="000000" w:themeColor="text1"/>
          <w:sz w:val="22"/>
          <w:szCs w:val="22"/>
          <w:lang w:val="en-ZA"/>
          <w14:textFill>
            <w14:solidFill>
              <w14:schemeClr w14:val="tx1"/>
            </w14:solidFill>
          </w14:textFill>
        </w:rPr>
        <w:t>8</w:t>
      </w:r>
      <w:r>
        <w:rPr>
          <w:rFonts w:ascii="Arial" w:hAnsi="Arial" w:cs="Arial"/>
          <w:color w:val="000000" w:themeColor="text1"/>
          <w:sz w:val="22"/>
          <w:szCs w:val="22"/>
          <w14:textFill>
            <w14:solidFill>
              <w14:schemeClr w14:val="tx1"/>
            </w14:solidFill>
          </w14:textFill>
        </w:rPr>
        <w:t xml:space="preserve"> financial year must be addressed in writing to the municipality by 31 August for the financial year in respect of which the rate is levied. If the rebate applied for is granted the rebate will apply for the full financial year and such application again regarded as a once off requirement.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Council reserves the right to send officials or its agents to premises/households receiving relief on annual basis for the purpose of conducting an on-site audit of the details supplied. The onus also rests on recipients to immediately notify Council of any changes in their original application.</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retains the right to refuse the exemption if the details supplied in the application form were incomplete, incorrect or false.</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v.</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No other rebates will be granted to properties that qualify for the agricultural rebate. For the avoidance of doubt, properties that qualify for the agricultural rebate will not be entitled to the residential rate exemption as set out in clause 12.1(b) of this policy.</w:t>
      </w:r>
    </w:p>
    <w:p>
      <w:pPr>
        <w:spacing w:before="240" w:line="360" w:lineRule="auto"/>
        <w:ind w:left="705" w:hanging="705"/>
        <w:jc w:val="both"/>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14.2</w:t>
      </w:r>
      <w:r>
        <w:rPr>
          <w:rFonts w:ascii="Arial" w:hAnsi="Arial" w:cs="Arial"/>
          <w:b/>
          <w:color w:val="000000" w:themeColor="text1"/>
          <w:sz w:val="22"/>
          <w:szCs w:val="22"/>
          <w14:textFill>
            <w14:solidFill>
              <w14:schemeClr w14:val="tx1"/>
            </w14:solidFill>
          </w14:textFill>
        </w:rPr>
        <w:tab/>
      </w:r>
      <w:r>
        <w:rPr>
          <w:rFonts w:ascii="Arial" w:hAnsi="Arial" w:cs="Arial"/>
          <w:b/>
          <w:color w:val="000000" w:themeColor="text1"/>
          <w:sz w:val="22"/>
          <w:szCs w:val="22"/>
          <w14:textFill>
            <w14:solidFill>
              <w14:schemeClr w14:val="tx1"/>
            </w14:solidFill>
          </w14:textFill>
        </w:rPr>
        <w:t>Categories of owners</w:t>
      </w:r>
    </w:p>
    <w:p>
      <w:pPr>
        <w:spacing w:before="240" w:line="360" w:lineRule="auto"/>
        <w:ind w:left="705" w:firstLine="4"/>
        <w:jc w:val="both"/>
        <w:rPr>
          <w:rFonts w:ascii="Arial" w:hAnsi="Arial" w:cs="Arial"/>
          <w:bCs/>
          <w:color w:val="000000" w:themeColor="text1"/>
          <w:sz w:val="22"/>
          <w:szCs w:val="22"/>
          <w14:textFill>
            <w14:solidFill>
              <w14:schemeClr w14:val="tx1"/>
            </w14:solidFill>
          </w14:textFill>
        </w:rPr>
      </w:pPr>
      <w:r>
        <w:rPr>
          <w:rFonts w:ascii="Arial" w:hAnsi="Arial" w:cs="Arial"/>
          <w:bCs/>
          <w:color w:val="000000" w:themeColor="text1"/>
          <w:sz w:val="22"/>
          <w:szCs w:val="22"/>
          <w14:textFill>
            <w14:solidFill>
              <w14:schemeClr w14:val="tx1"/>
            </w14:solidFill>
          </w14:textFill>
        </w:rPr>
        <w:t>Indigent owners and child headed families will receive a 100% rebate from payment of property tax:-</w:t>
      </w:r>
    </w:p>
    <w:p>
      <w:pPr>
        <w:spacing w:before="240" w:line="360" w:lineRule="auto"/>
        <w:ind w:left="705" w:hanging="705"/>
        <w:jc w:val="both"/>
        <w:rPr>
          <w:rFonts w:ascii="Arial" w:hAnsi="Arial" w:cs="Arial"/>
          <w:color w:val="000000" w:themeColor="text1"/>
          <w:sz w:val="22"/>
          <w:szCs w:val="22"/>
          <w:u w:val="single"/>
          <w14:textFill>
            <w14:solidFill>
              <w14:schemeClr w14:val="tx1"/>
            </w14:solidFill>
          </w14:textFill>
        </w:rPr>
      </w:pPr>
      <w:r>
        <w:rPr>
          <w:rFonts w:ascii="Arial" w:hAnsi="Arial" w:cs="Arial"/>
          <w:bCs/>
          <w:color w:val="000000" w:themeColor="text1"/>
          <w:sz w:val="22"/>
          <w:szCs w:val="22"/>
          <w14:textFill>
            <w14:solidFill>
              <w14:schemeClr w14:val="tx1"/>
            </w14:solidFill>
          </w14:textFill>
        </w:rPr>
        <w:t xml:space="preserve"> (a)</w:t>
      </w:r>
      <w:r>
        <w:rPr>
          <w:rFonts w:ascii="Arial" w:hAnsi="Arial" w:cs="Arial"/>
          <w:bCs/>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Indigent owners</w:t>
      </w:r>
    </w:p>
    <w:p>
      <w:pPr>
        <w:spacing w:line="360" w:lineRule="auto"/>
        <w:ind w:left="709"/>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Owners who qualify and who are registered as indigents in terms of the adopted indigent policy of the municipality, regardless of the value of the property, will receive a rebate from payment of property tax in accordance to the indigent subsidy policy of the municipality. If qualifying in terms of the indigent policy the rebate will automatically apply and no further application is thus required by the owner.</w:t>
      </w:r>
    </w:p>
    <w:p>
      <w:pPr>
        <w:spacing w:before="240" w:line="360" w:lineRule="auto"/>
        <w:ind w:left="705" w:hanging="705"/>
        <w:jc w:val="both"/>
        <w:rPr>
          <w:rFonts w:ascii="Arial" w:hAnsi="Arial" w:cs="Arial"/>
          <w:color w:val="000000" w:themeColor="text1"/>
          <w:sz w:val="22"/>
          <w:szCs w:val="22"/>
          <w:u w:val="single"/>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 (b)</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Child headed families</w:t>
      </w:r>
      <w:r>
        <w:rPr>
          <w:rFonts w:ascii="Arial" w:hAnsi="Arial" w:cs="Arial"/>
          <w:color w:val="000000" w:themeColor="text1"/>
          <w:sz w:val="22"/>
          <w:szCs w:val="22"/>
          <w:u w:val="single"/>
          <w14:textFill>
            <w14:solidFill>
              <w14:schemeClr w14:val="tx1"/>
            </w14:solidFill>
          </w14:textFill>
        </w:rPr>
        <w:t xml:space="preserve"> </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Families headed by children will receive a 100% rebate for paying property tax, according to monthly household income. To qualify for this rebate the head of the family must:-</w:t>
      </w:r>
    </w:p>
    <w:p>
      <w:pPr>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occupy the property as his/her normal residence;  </w:t>
      </w:r>
    </w:p>
    <w:p>
      <w:pPr>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not be older than 18 years of age;</w:t>
      </w:r>
    </w:p>
    <w:p>
      <w:pPr>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still be a scholar or jobless; and</w:t>
      </w:r>
    </w:p>
    <w:p>
      <w:pPr>
        <w:spacing w:before="240" w:line="360" w:lineRule="auto"/>
        <w:ind w:left="1418" w:hanging="142"/>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    be in receipt of a total monthly income from all sources not exceeding an amount to be determined annually by the Municipality. For the 201</w:t>
      </w:r>
      <w:r>
        <w:rPr>
          <w:rFonts w:ascii="Arial" w:hAnsi="Arial" w:cs="Arial"/>
          <w:color w:val="000000" w:themeColor="text1"/>
          <w:sz w:val="22"/>
          <w:szCs w:val="22"/>
          <w:lang w:val="en-ZA"/>
          <w14:textFill>
            <w14:solidFill>
              <w14:schemeClr w14:val="tx1"/>
            </w14:solidFill>
          </w14:textFill>
        </w:rPr>
        <w:t>7</w:t>
      </w:r>
      <w:r>
        <w:rPr>
          <w:rFonts w:ascii="Arial" w:hAnsi="Arial" w:cs="Arial"/>
          <w:color w:val="000000" w:themeColor="text1"/>
          <w:sz w:val="22"/>
          <w:szCs w:val="22"/>
          <w14:textFill>
            <w14:solidFill>
              <w14:schemeClr w14:val="tx1"/>
            </w14:solidFill>
          </w14:textFill>
        </w:rPr>
        <w:t>/201</w:t>
      </w:r>
      <w:r>
        <w:rPr>
          <w:rFonts w:ascii="Arial" w:hAnsi="Arial" w:cs="Arial"/>
          <w:color w:val="000000" w:themeColor="text1"/>
          <w:sz w:val="22"/>
          <w:szCs w:val="22"/>
          <w:lang w:val="en-ZA"/>
          <w14:textFill>
            <w14:solidFill>
              <w14:schemeClr w14:val="tx1"/>
            </w14:solidFill>
          </w14:textFill>
        </w:rPr>
        <w:t>8</w:t>
      </w:r>
      <w:r>
        <w:rPr>
          <w:rFonts w:ascii="Arial" w:hAnsi="Arial" w:cs="Arial"/>
          <w:color w:val="000000" w:themeColor="text1"/>
          <w:sz w:val="22"/>
          <w:szCs w:val="22"/>
          <w14:textFill>
            <w14:solidFill>
              <w14:schemeClr w14:val="tx1"/>
            </w14:solidFill>
          </w14:textFill>
        </w:rPr>
        <w:t xml:space="preserve"> financial year this amount is determined as a R3 </w:t>
      </w:r>
      <w:r>
        <w:rPr>
          <w:rFonts w:ascii="Arial" w:hAnsi="Arial" w:cs="Arial"/>
          <w:color w:val="000000" w:themeColor="text1"/>
          <w:sz w:val="22"/>
          <w:szCs w:val="22"/>
          <w:lang w:val="en-ZA"/>
          <w14:textFill>
            <w14:solidFill>
              <w14:schemeClr w14:val="tx1"/>
            </w14:solidFill>
          </w14:textFill>
        </w:rPr>
        <w:t>3</w:t>
      </w:r>
      <w:r>
        <w:rPr>
          <w:rFonts w:ascii="Arial" w:hAnsi="Arial" w:cs="Arial"/>
          <w:color w:val="000000" w:themeColor="text1"/>
          <w:sz w:val="22"/>
          <w:szCs w:val="22"/>
          <w14:textFill>
            <w14:solidFill>
              <w14:schemeClr w14:val="tx1"/>
            </w14:solidFill>
          </w14:textFill>
        </w:rPr>
        <w:t>00 and below per month, unless the municipality gives further extension on application.</w:t>
      </w:r>
    </w:p>
    <w:p>
      <w:pPr>
        <w:spacing w:line="360" w:lineRule="auto"/>
        <w:ind w:left="1843" w:hanging="567"/>
        <w:jc w:val="both"/>
        <w:rPr>
          <w:rFonts w:ascii="Arial" w:hAnsi="Arial" w:cs="Arial"/>
          <w:color w:val="000000" w:themeColor="text1"/>
          <w:sz w:val="22"/>
          <w:szCs w:val="22"/>
          <w14:textFill>
            <w14:solidFill>
              <w14:schemeClr w14:val="tx1"/>
            </w14:solidFill>
          </w14:textFill>
        </w:rPr>
      </w:pP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family head must apply on a prescribed application form for registration as a child headed household and must be assisted by the municipality with completion of the application form. If qualifying, this rebate will automatically apply and no further application is thus required.</w:t>
      </w:r>
    </w:p>
    <w:p>
      <w:pPr>
        <w:spacing w:before="240" w:line="360" w:lineRule="auto"/>
        <w:ind w:left="705" w:hanging="705"/>
        <w:jc w:val="both"/>
        <w:rPr>
          <w:rFonts w:ascii="Arial" w:hAnsi="Arial" w:cs="Arial"/>
          <w:b/>
          <w:i/>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b/>
          <w:i/>
          <w:color w:val="000000" w:themeColor="text1"/>
          <w:sz w:val="22"/>
          <w:szCs w:val="22"/>
          <w14:textFill>
            <w14:solidFill>
              <w14:schemeClr w14:val="tx1"/>
            </w14:solidFill>
          </w14:textFill>
        </w:rPr>
        <w:t>Retired, / Pensioners’ and Disabled Persons Rate Rebate</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Retired and Disabled Persons, not registered as indigents, qualify for special rebates according to monthly household income. To qualify for the rebate a property owner must:-</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occupy the property as his/her normal residence;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be at least 60 years of age or in receipt of a disability pension from the Department of Welfare and Population Development;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be in receipt of a total monthly income from all sources as annually determined by the municipality (including income of spouses of owner);</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not be the owner of more than one property; and </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e.</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provided that where the owner is unable to occupy the property due to no fault of his/her own, the spouse or minor children may satisfy the occupancy requirement.</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Property owners must apply on a prescribed application form for a rebate as determined by the municipality. Applications must be accompanied by-</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certified copy of the identity document or any other proof of the owners age which is acceptable to the municipality;</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sufficient proof of income of the owner and his/her spouse;</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an affidavit from the owner;</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if the owner is a disabled person proof of a disability pension payable by the state must be supplied; and</w:t>
      </w:r>
    </w:p>
    <w:p>
      <w:pPr>
        <w:pStyle w:val="27"/>
        <w:spacing w:line="360" w:lineRule="auto"/>
        <w:ind w:left="1843"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e.</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if the owner has retired at an earlier stage for medical reasons proof thereof must be submitted.</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All applications must be addressed in writing to the municipality by 31 August for the financial year in respect of which the rate is levied. If the rebate applied for is granted the rebate will apply for the full financial year.  For the 201</w:t>
      </w:r>
      <w:r>
        <w:rPr>
          <w:rFonts w:ascii="Arial" w:hAnsi="Arial" w:cs="Arial"/>
          <w:color w:val="000000" w:themeColor="text1"/>
          <w:sz w:val="22"/>
          <w:szCs w:val="22"/>
          <w:lang w:val="en-ZA"/>
          <w14:textFill>
            <w14:solidFill>
              <w14:schemeClr w14:val="tx1"/>
            </w14:solidFill>
          </w14:textFill>
        </w:rPr>
        <w:t>7</w:t>
      </w:r>
      <w:r>
        <w:rPr>
          <w:rFonts w:ascii="Arial" w:hAnsi="Arial" w:cs="Arial"/>
          <w:color w:val="000000" w:themeColor="text1"/>
          <w:sz w:val="22"/>
          <w:szCs w:val="22"/>
          <w14:textFill>
            <w14:solidFill>
              <w14:schemeClr w14:val="tx1"/>
            </w14:solidFill>
          </w14:textFill>
        </w:rPr>
        <w:t>/201</w:t>
      </w:r>
      <w:r>
        <w:rPr>
          <w:rFonts w:ascii="Arial" w:hAnsi="Arial" w:cs="Arial"/>
          <w:color w:val="000000" w:themeColor="text1"/>
          <w:sz w:val="22"/>
          <w:szCs w:val="22"/>
          <w:lang w:val="en-ZA"/>
          <w14:textFill>
            <w14:solidFill>
              <w14:schemeClr w14:val="tx1"/>
            </w14:solidFill>
          </w14:textFill>
        </w:rPr>
        <w:t>8</w:t>
      </w:r>
      <w:r>
        <w:rPr>
          <w:rFonts w:ascii="Arial" w:hAnsi="Arial" w:cs="Arial"/>
          <w:color w:val="000000" w:themeColor="text1"/>
          <w:sz w:val="22"/>
          <w:szCs w:val="22"/>
          <w14:textFill>
            <w14:solidFill>
              <w14:schemeClr w14:val="tx1"/>
            </w14:solidFill>
          </w14:textFill>
        </w:rPr>
        <w:t xml:space="preserve"> financial year the total monthly income and corresponding rebate is increased by CPIX of 6</w:t>
      </w:r>
      <w:r>
        <w:rPr>
          <w:rFonts w:ascii="Arial" w:hAnsi="Arial" w:cs="Arial"/>
          <w:color w:val="000000" w:themeColor="text1"/>
          <w:sz w:val="22"/>
          <w:szCs w:val="22"/>
          <w:lang w:val="en-ZA"/>
          <w14:textFill>
            <w14:solidFill>
              <w14:schemeClr w14:val="tx1"/>
            </w14:solidFill>
          </w14:textFill>
        </w:rPr>
        <w:t>.4</w:t>
      </w:r>
      <w:r>
        <w:rPr>
          <w:rFonts w:ascii="Arial" w:hAnsi="Arial" w:cs="Arial"/>
          <w:color w:val="000000" w:themeColor="text1"/>
          <w:sz w:val="22"/>
          <w:szCs w:val="22"/>
          <w14:textFill>
            <w14:solidFill>
              <w14:schemeClr w14:val="tx1"/>
            </w14:solidFill>
          </w14:textFill>
        </w:rPr>
        <w:t>% and is determined as follows:-</w:t>
      </w:r>
    </w:p>
    <w:p>
      <w:pPr>
        <w:numPr>
          <w:ilvl w:val="0"/>
          <w:numId w:val="0"/>
        </w:numPr>
        <w:spacing w:line="360" w:lineRule="auto"/>
        <w:ind w:left="360" w:leftChars="0" w:firstLine="716" w:firstLineChars="0"/>
        <w:jc w:val="both"/>
        <w:rPr>
          <w:rFonts w:ascii="Arial" w:hAnsi="Arial" w:cs="Arial"/>
          <w:color w:val="000000" w:themeColor="text1"/>
          <w:sz w:val="22"/>
          <w:szCs w:val="22"/>
          <w14:textFill>
            <w14:solidFill>
              <w14:schemeClr w14:val="tx1"/>
            </w14:solidFill>
          </w14:textFill>
        </w:rPr>
      </w:pPr>
      <w:bookmarkStart w:id="30" w:name="_Toc215922541"/>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R0 to R3 </w:t>
      </w:r>
      <w:r>
        <w:rPr>
          <w:rFonts w:ascii="Arial" w:hAnsi="Arial" w:cs="Arial"/>
          <w:color w:val="000000" w:themeColor="text1"/>
          <w:sz w:val="22"/>
          <w:szCs w:val="22"/>
          <w:lang w:val="en-ZA"/>
          <w14:textFill>
            <w14:solidFill>
              <w14:schemeClr w14:val="tx1"/>
            </w14:solidFill>
          </w14:textFill>
        </w:rPr>
        <w:t>3</w:t>
      </w:r>
      <w:r>
        <w:rPr>
          <w:rFonts w:ascii="Arial" w:hAnsi="Arial" w:cs="Arial"/>
          <w:color w:val="000000" w:themeColor="text1"/>
          <w:sz w:val="22"/>
          <w:szCs w:val="22"/>
          <w14:textFill>
            <w14:solidFill>
              <w14:schemeClr w14:val="tx1"/>
            </w14:solidFill>
          </w14:textFill>
        </w:rPr>
        <w:t>00 per month</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- 100%. As per the indigent subsidy policy</w:t>
      </w:r>
    </w:p>
    <w:p>
      <w:pPr>
        <w:numPr>
          <w:ilvl w:val="0"/>
          <w:numId w:val="0"/>
        </w:numPr>
        <w:spacing w:line="360" w:lineRule="auto"/>
        <w:ind w:left="360" w:leftChars="0" w:firstLine="716"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R3 </w:t>
      </w:r>
      <w:r>
        <w:rPr>
          <w:rFonts w:ascii="Arial" w:hAnsi="Arial" w:cs="Arial"/>
          <w:color w:val="000000" w:themeColor="text1"/>
          <w:sz w:val="22"/>
          <w:szCs w:val="22"/>
          <w:lang w:val="en-ZA"/>
          <w14:textFill>
            <w14:solidFill>
              <w14:schemeClr w14:val="tx1"/>
            </w14:solidFill>
          </w14:textFill>
        </w:rPr>
        <w:t>3</w:t>
      </w:r>
      <w:r>
        <w:rPr>
          <w:rFonts w:ascii="Arial" w:hAnsi="Arial" w:cs="Arial"/>
          <w:color w:val="000000" w:themeColor="text1"/>
          <w:sz w:val="22"/>
          <w:szCs w:val="22"/>
          <w14:textFill>
            <w14:solidFill>
              <w14:schemeClr w14:val="tx1"/>
            </w14:solidFill>
          </w14:textFill>
        </w:rPr>
        <w:t>01 to R</w:t>
      </w:r>
      <w:r>
        <w:rPr>
          <w:rFonts w:ascii="Arial" w:hAnsi="Arial" w:cs="Arial"/>
          <w:color w:val="000000" w:themeColor="text1"/>
          <w:sz w:val="22"/>
          <w:szCs w:val="22"/>
          <w:lang w:val="en-ZA"/>
          <w14:textFill>
            <w14:solidFill>
              <w14:schemeClr w14:val="tx1"/>
            </w14:solidFill>
          </w14:textFill>
        </w:rPr>
        <w:t>4005</w:t>
      </w:r>
      <w:r>
        <w:rPr>
          <w:rFonts w:ascii="Arial" w:hAnsi="Arial" w:cs="Arial"/>
          <w:color w:val="000000" w:themeColor="text1"/>
          <w:sz w:val="22"/>
          <w:szCs w:val="22"/>
          <w14:textFill>
            <w14:solidFill>
              <w14:schemeClr w14:val="tx1"/>
            </w14:solidFill>
          </w14:textFill>
        </w:rPr>
        <w:t xml:space="preserve"> per month</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40%.</w:t>
      </w:r>
    </w:p>
    <w:p>
      <w:pPr>
        <w:numPr>
          <w:ilvl w:val="0"/>
          <w:numId w:val="0"/>
        </w:numPr>
        <w:spacing w:line="360" w:lineRule="auto"/>
        <w:ind w:left="360" w:leftChars="0" w:firstLine="716"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w:t>
      </w:r>
      <w:r>
        <w:rPr>
          <w:rFonts w:ascii="Arial" w:hAnsi="Arial" w:cs="Arial"/>
          <w:color w:val="000000" w:themeColor="text1"/>
          <w:sz w:val="22"/>
          <w:szCs w:val="22"/>
          <w:lang w:val="en-ZA"/>
          <w14:textFill>
            <w14:solidFill>
              <w14:schemeClr w14:val="tx1"/>
            </w14:solidFill>
          </w14:textFill>
        </w:rPr>
        <w:t>4 006</w:t>
      </w:r>
      <w:r>
        <w:rPr>
          <w:rFonts w:ascii="Arial" w:hAnsi="Arial" w:cs="Arial"/>
          <w:color w:val="000000" w:themeColor="text1"/>
          <w:sz w:val="22"/>
          <w:szCs w:val="22"/>
          <w14:textFill>
            <w14:solidFill>
              <w14:schemeClr w14:val="tx1"/>
            </w14:solidFill>
          </w14:textFill>
        </w:rPr>
        <w:t xml:space="preserve"> to R6 </w:t>
      </w:r>
      <w:r>
        <w:rPr>
          <w:rFonts w:ascii="Arial" w:hAnsi="Arial" w:cs="Arial"/>
          <w:color w:val="000000" w:themeColor="text1"/>
          <w:sz w:val="22"/>
          <w:szCs w:val="22"/>
          <w:lang w:val="en-ZA"/>
          <w14:textFill>
            <w14:solidFill>
              <w14:schemeClr w14:val="tx1"/>
            </w14:solidFill>
          </w14:textFill>
        </w:rPr>
        <w:t xml:space="preserve">604 </w:t>
      </w:r>
      <w:r>
        <w:rPr>
          <w:rFonts w:ascii="Arial" w:hAnsi="Arial" w:cs="Arial"/>
          <w:color w:val="000000" w:themeColor="text1"/>
          <w:sz w:val="22"/>
          <w:szCs w:val="22"/>
          <w14:textFill>
            <w14:solidFill>
              <w14:schemeClr w14:val="tx1"/>
            </w14:solidFill>
          </w14:textFill>
        </w:rPr>
        <w:t>per month</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15%.</w:t>
      </w:r>
    </w:p>
    <w:p>
      <w:pPr>
        <w:keepNext w:val="0"/>
        <w:keepLines w:val="0"/>
        <w:widowControl/>
        <w:suppressLineNumbers w:val="0"/>
        <w:kinsoku w:val="0"/>
        <w:overflowPunct w:val="0"/>
        <w:bidi w:val="0"/>
        <w:spacing w:before="60" w:beforeAutospacing="0" w:after="0" w:afterAutospacing="0"/>
        <w:ind w:left="0" w:firstLine="720" w:firstLineChars="0"/>
        <w:jc w:val="left"/>
        <w:textAlignment w:val="baseline"/>
        <w:rPr>
          <w:rFonts w:hint="default" w:ascii="Arial" w:hAnsi="Arial" w:cs="Arial"/>
          <w:sz w:val="22"/>
          <w:szCs w:val="22"/>
        </w:rPr>
      </w:pPr>
      <w:r>
        <w:rPr>
          <w:rFonts w:ascii="Arial" w:hAnsi="Arial" w:cs="Arial"/>
          <w:color w:val="000000" w:themeColor="text1"/>
          <w:sz w:val="22"/>
          <w:szCs w:val="22"/>
          <w14:textFill>
            <w14:solidFill>
              <w14:schemeClr w14:val="tx1"/>
            </w14:solidFill>
          </w14:textFill>
        </w:rPr>
        <w:t>iv.</w:t>
      </w:r>
      <w:r>
        <w:rPr>
          <w:rFonts w:ascii="Arial" w:hAnsi="Arial" w:cs="Arial"/>
          <w:color w:val="000000" w:themeColor="text1"/>
          <w:sz w:val="22"/>
          <w:szCs w:val="22"/>
          <w14:textFill>
            <w14:solidFill>
              <w14:schemeClr w14:val="tx1"/>
            </w14:solidFill>
          </w14:textFill>
        </w:rPr>
        <w:tab/>
      </w:r>
      <w:r>
        <w:rPr>
          <w:rFonts w:hint="default" w:ascii="Arial" w:hAnsi="Arial" w:eastAsia="mn-ea" w:cs="Arial"/>
          <w:color w:val="2F2B20"/>
          <w:kern w:val="24"/>
          <w:sz w:val="22"/>
          <w:szCs w:val="22"/>
          <w:vertAlign w:val="baseline"/>
          <w:lang w:val="en-US" w:eastAsia="zh-CN" w:bidi="ar"/>
        </w:rPr>
        <w:t xml:space="preserve">The consumers residing at area where there is special negotiated tariffs with </w:t>
      </w:r>
      <w:r>
        <w:rPr>
          <w:rFonts w:hint="default" w:ascii="Arial" w:hAnsi="Arial" w:eastAsia="mn-ea" w:cs="Arial"/>
          <w:color w:val="2F2B20"/>
          <w:kern w:val="24"/>
          <w:sz w:val="22"/>
          <w:szCs w:val="22"/>
          <w:vertAlign w:val="baseline"/>
          <w:lang w:val="en-ZA" w:eastAsia="zh-CN" w:bidi="ar"/>
        </w:rPr>
        <w:tab/>
      </w:r>
      <w:r>
        <w:rPr>
          <w:rFonts w:hint="default" w:ascii="Arial" w:hAnsi="Arial" w:eastAsia="mn-ea" w:cs="Arial"/>
          <w:color w:val="2F2B20"/>
          <w:kern w:val="24"/>
          <w:sz w:val="22"/>
          <w:szCs w:val="22"/>
          <w:vertAlign w:val="baseline"/>
          <w:lang w:val="en-ZA" w:eastAsia="zh-CN" w:bidi="ar"/>
        </w:rPr>
        <w:tab/>
      </w:r>
      <w:r>
        <w:rPr>
          <w:rFonts w:hint="default" w:ascii="Arial" w:hAnsi="Arial" w:eastAsia="mn-ea" w:cs="Arial"/>
          <w:color w:val="2F2B20"/>
          <w:kern w:val="24"/>
          <w:sz w:val="22"/>
          <w:szCs w:val="22"/>
          <w:vertAlign w:val="baseline"/>
          <w:lang w:val="en-ZA" w:eastAsia="zh-CN" w:bidi="ar"/>
        </w:rPr>
        <w:tab/>
      </w:r>
      <w:r>
        <w:rPr>
          <w:rFonts w:hint="default" w:ascii="Arial" w:hAnsi="Arial" w:eastAsia="mn-ea" w:cs="Arial"/>
          <w:color w:val="2F2B20"/>
          <w:kern w:val="24"/>
          <w:sz w:val="22"/>
          <w:szCs w:val="22"/>
          <w:vertAlign w:val="baseline"/>
          <w:lang w:val="en-US" w:eastAsia="zh-CN" w:bidi="ar"/>
        </w:rPr>
        <w:t>Council or tariff prescribed by law do not qualify for indigent and pensioners rebate</w:t>
      </w:r>
    </w:p>
    <w:p>
      <w:pPr>
        <w:spacing w:line="360" w:lineRule="auto"/>
        <w:ind w:left="720"/>
        <w:jc w:val="both"/>
        <w:rPr>
          <w:rFonts w:ascii="Arial" w:hAnsi="Arial" w:cs="Arial"/>
          <w:color w:val="000000" w:themeColor="text1"/>
          <w:sz w:val="22"/>
          <w:szCs w:val="22"/>
          <w14:textFill>
            <w14:solidFill>
              <w14:schemeClr w14:val="tx1"/>
            </w14:solidFill>
          </w14:textFill>
        </w:rPr>
      </w:pPr>
    </w:p>
    <w:p>
      <w:pPr>
        <w:spacing w:line="360" w:lineRule="auto"/>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lang w:val="en-ZA"/>
          <w14:textFill>
            <w14:solidFill>
              <w14:schemeClr w14:val="tx1"/>
            </w14:solidFill>
          </w14:textFill>
        </w:rPr>
        <w:t xml:space="preserve">V.  </w:t>
      </w:r>
      <w:r>
        <w:rPr>
          <w:rFonts w:ascii="Arial" w:hAnsi="Arial" w:cs="Arial"/>
          <w:color w:val="000000" w:themeColor="text1"/>
          <w:sz w:val="22"/>
          <w:szCs w:val="22"/>
          <w14:textFill>
            <w14:solidFill>
              <w14:schemeClr w14:val="tx1"/>
            </w14:solidFill>
          </w14:textFill>
        </w:rPr>
        <w:t xml:space="preserve">The municipality retains the right to refuse the exemption if the details supplied in </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application form were incomplete, incorrect or false.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14.3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Properties with a market value below a prescribed valuation level of a value to be determined annually by the Municipality may, instead of a rate being determined on the market value, be rated a uniform fixed amount per property.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14.4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extent of the rebates granted in terms of 14.1 and 14.2 shall annually be determined by the municipality and included in the annual budget.</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PAYMENT OF RATES</w:t>
      </w:r>
      <w:bookmarkEnd w:id="30"/>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14.1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rates levied on the properties shall be payable:-</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(a)</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On a monthly basis; or </w:t>
      </w:r>
    </w:p>
    <w:p>
      <w:pPr>
        <w:spacing w:line="360" w:lineRule="auto"/>
        <w:ind w:left="1276" w:hanging="567"/>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(b)</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Annually, before 30 September each year.</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Ratepayers may choose paying rates annually in one installment on or before 30 September each year. If the owner of property that is subject to rates, notify the Accounting Officer or his/her nominee in writing not later than 30 June in any financial year, or such later date in such financial year as may be determined by the municipality that he/she wishes to pay all rates annually, such owner shall be entitled to pay all rates in the subsequent financial year and each subsequent financial year annually until such notice is withdrawn by him/her in a similar manner.</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shall determine the due dates for payments in monthly installments and the single annual payment and this date shall appear on the accounts forwarded to the owner/ tenant/ occupants/ agent.</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Interest on arrears rates, whether payable on or before 30 September or in equal monthly installments, shall be calculated in accordance with the provisions of the Credit Control and Debt Collection Policy of the Municipality.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If a property owner who is responsible for the payment of property rates in terms of this policy fails to pay such rates in the prescribed manner, it will be recovered from him/her in accordance with the provisions of the Credit Control and Debt Collection By-law of the Municipality.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Arrears rates shall be recovered from tenants, occupiers and agents of the owner, in terms of section 28 and 29 of the Act and the Municipality’s credit control and debt collection by-law.</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15.7</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for the period extending from the date on which the error or omission is detected back to the date on which rates were first levied in terms of the current valuation roll.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15.8</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addition, where the error occurred because of false information provided by the property owner or as a result of a contravention of the permitted use of the property concerned, interest on the unpaid portion of the adjusted rates payable shall be levied at the maximum rate permitted by prevailing legislation.</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31" w:name="_Toc215922542"/>
      <w:r>
        <w:rPr>
          <w:rFonts w:ascii="Arial" w:hAnsi="Arial" w:cs="Arial"/>
          <w:color w:val="000000" w:themeColor="text1"/>
          <w:sz w:val="22"/>
          <w:szCs w:val="22"/>
          <w14:textFill>
            <w14:solidFill>
              <w14:schemeClr w14:val="tx1"/>
            </w14:solidFill>
          </w14:textFill>
        </w:rPr>
        <w:t>16.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ACCOUNTS TO BE FURNISHED</w:t>
      </w:r>
      <w:bookmarkEnd w:id="31"/>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16.1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shall furnish each person liable for the payment of rates with a written account, which will specify:-</w:t>
      </w:r>
    </w:p>
    <w:p>
      <w:pPr>
        <w:tabs>
          <w:tab w:val="left" w:pos="540"/>
          <w:tab w:val="left" w:pos="1134"/>
        </w:tabs>
        <w:spacing w:line="360" w:lineRule="auto"/>
        <w:ind w:left="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amount due for rates payable,</w:t>
      </w:r>
    </w:p>
    <w:p>
      <w:pPr>
        <w:tabs>
          <w:tab w:val="left" w:pos="540"/>
          <w:tab w:val="left" w:pos="1134"/>
        </w:tabs>
        <w:spacing w:line="360" w:lineRule="auto"/>
        <w:ind w:left="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date on or before which the amount is payable,</w:t>
      </w:r>
    </w:p>
    <w:p>
      <w:pPr>
        <w:tabs>
          <w:tab w:val="left" w:pos="540"/>
          <w:tab w:val="left" w:pos="1134"/>
        </w:tabs>
        <w:spacing w:line="360" w:lineRule="auto"/>
        <w:ind w:left="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(iii)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how the amount was calculated,</w:t>
      </w:r>
    </w:p>
    <w:p>
      <w:pPr>
        <w:tabs>
          <w:tab w:val="left" w:pos="540"/>
          <w:tab w:val="left" w:pos="1134"/>
        </w:tabs>
        <w:spacing w:line="360" w:lineRule="auto"/>
        <w:ind w:left="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(iv)</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market value of the property, and</w:t>
      </w:r>
    </w:p>
    <w:p>
      <w:pPr>
        <w:tabs>
          <w:tab w:val="left" w:pos="540"/>
          <w:tab w:val="left" w:pos="1134"/>
        </w:tabs>
        <w:spacing w:line="360" w:lineRule="auto"/>
        <w:ind w:left="5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(v)</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rebates, exemptions, reductions or phasing-in, if applicable.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16.2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 person liable for payment of rates remains liable for such payment, whether or not such person has received a written account from the municipality. If the person concerned has not received a written account, he/she must make the necessary enquiries with the municipality.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16.3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the case of joint ownership the municipality shall consistently, in order to minimise costs and unnecessary administration, recover rates from one of the joint owners only provided that it takes place with the consent of the owners concerned.</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32" w:name="_Toc120062230"/>
      <w:bookmarkStart w:id="33" w:name="_Toc215922543"/>
      <w:r>
        <w:rPr>
          <w:rFonts w:ascii="Arial" w:hAnsi="Arial" w:cs="Arial"/>
          <w:color w:val="000000" w:themeColor="text1"/>
          <w:sz w:val="22"/>
          <w:szCs w:val="22"/>
          <w14:textFill>
            <w14:solidFill>
              <w14:schemeClr w14:val="tx1"/>
            </w14:solidFill>
          </w14:textFill>
        </w:rPr>
        <w:t>17.</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PHASING IN OF RATES</w:t>
      </w:r>
      <w:bookmarkEnd w:id="32"/>
      <w:bookmarkEnd w:id="33"/>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17.1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rates to be levied on newly ratable property has been phased in as explicitly provided for in section 21 of the </w:t>
      </w:r>
      <w:r>
        <w:rPr>
          <w:rFonts w:ascii="Arial" w:hAnsi="Arial" w:cs="Arial"/>
          <w:color w:val="000000" w:themeColor="text1"/>
          <w:sz w:val="22"/>
          <w:szCs w:val="22"/>
          <w:lang w:val="en-ZA"/>
          <w14:textFill>
            <w14:solidFill>
              <w14:schemeClr w14:val="tx1"/>
            </w14:solidFill>
          </w14:textFill>
        </w:rPr>
        <w:t>MPRA</w:t>
      </w:r>
      <w:r>
        <w:rPr>
          <w:rFonts w:ascii="Arial" w:hAnsi="Arial" w:cs="Arial"/>
          <w:color w:val="000000" w:themeColor="text1"/>
          <w:sz w:val="22"/>
          <w:szCs w:val="22"/>
          <w14:textFill>
            <w14:solidFill>
              <w14:schemeClr w14:val="tx1"/>
            </w14:solidFill>
          </w14:textFill>
        </w:rPr>
        <w:t xml:space="preserve">t from 1 July 2009 to 30 June 2013. </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34" w:name="_Toc120062231"/>
      <w:bookmarkStart w:id="35" w:name="_Toc188889091"/>
      <w:bookmarkStart w:id="36" w:name="_Toc215922544"/>
      <w:r>
        <w:rPr>
          <w:rFonts w:ascii="Arial" w:hAnsi="Arial" w:cs="Arial"/>
          <w:color w:val="000000" w:themeColor="text1"/>
          <w:sz w:val="22"/>
          <w:szCs w:val="22"/>
          <w14:textFill>
            <w14:solidFill>
              <w14:schemeClr w14:val="tx1"/>
            </w14:solidFill>
          </w14:textFill>
        </w:rPr>
        <w:t>18.</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SPECIAL RATING AREAS</w:t>
      </w:r>
      <w:bookmarkEnd w:id="34"/>
      <w:bookmarkEnd w:id="35"/>
      <w:bookmarkEnd w:id="36"/>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will, whenever deemed necessary, by means of a formal Council resolution determine special rating areas in consultation with the relevant communities as provided for in section 22 of the Act.</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following matters shall be attended to in consultation with the committee referred to in clause 18.3 whenever special rating is being considered:-</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Proposed boundaries of the special rating area;</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Statistical data of the area concerned giving a comprehensive picture of the number of erven with its zoning, services being rendered and detail of services such as capacity, number of vacant erven and services that are not rendered; </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Proposed improvements clearly indicating the estimated costs of each individual improvement;</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Proposed financing of the improvements or projects;</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Priority of projects if more than one;</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Social economic factors of the relevant community;</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18.2.7</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Different categories of property;</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18.2.8</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amount of the proposed special rating; </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18.2.9</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Details regarding the implementation of the special rating;</w:t>
      </w:r>
    </w:p>
    <w:p>
      <w:pPr>
        <w:spacing w:before="240" w:line="360" w:lineRule="auto"/>
        <w:ind w:left="1440" w:hanging="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18.2.10 The additional income that will be generated by means of this special rating.</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 xml:space="preserve">The required consent of the relevant community shall be obtained in writing or by means of a formal voting process under the chairmanship of the Accounting Officer. A majority shall be regarded as 50% plus one of the households affected. Each relevant household within the special rating area, i.e. every receiver of a monthly municipal account, will have 1 vote only. </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In determining the special additional rates the municipality shall differentiate between different categories as referred to in clause 8 of this policy.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additional rates levied shall be utilised for the purpose of improving or upgrading of the specific area only and not for any other purposes whatsoever.</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18.6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shall establish separate accounting and other record-keeping systems for the identified area and the households concerned shall be kept informed of progress with projects and financial implications on an annual basis.</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37" w:name="_Toc215922545"/>
      <w:r>
        <w:rPr>
          <w:rFonts w:ascii="Arial" w:hAnsi="Arial" w:cs="Arial"/>
          <w:color w:val="000000" w:themeColor="text1"/>
          <w:sz w:val="22"/>
          <w:szCs w:val="22"/>
          <w14:textFill>
            <w14:solidFill>
              <w14:schemeClr w14:val="tx1"/>
            </w14:solidFill>
          </w14:textFill>
        </w:rPr>
        <w:t>19.</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FREQUENCY OF VALUATION</w:t>
      </w:r>
      <w:bookmarkEnd w:id="37"/>
    </w:p>
    <w:p>
      <w:pPr>
        <w:rPr>
          <w:rFonts w:ascii="Arial" w:hAnsi="Arial" w:cs="Arial"/>
          <w:color w:val="000000" w:themeColor="text1"/>
          <w:sz w:val="22"/>
          <w:szCs w:val="22"/>
          <w14:textFill>
            <w14:solidFill>
              <w14:schemeClr w14:val="tx1"/>
            </w14:solidFill>
          </w14:textFill>
        </w:rPr>
      </w:pP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19.1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shall prepare a new valuation roll at least every 4 (four) years.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19.2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lang w:val="en-GB" w:eastAsia="en-GB"/>
          <w14:textFill>
            <w14:solidFill>
              <w14:schemeClr w14:val="tx1"/>
            </w14:solidFill>
          </w14:textFill>
        </w:rPr>
        <w:t xml:space="preserve">n </w:t>
      </w:r>
      <w:r>
        <w:rPr>
          <w:rFonts w:ascii="Arial" w:hAnsi="Arial" w:cs="Arial"/>
          <w:color w:val="000000" w:themeColor="text1"/>
          <w:sz w:val="22"/>
          <w:szCs w:val="22"/>
          <w14:textFill>
            <w14:solidFill>
              <w14:schemeClr w14:val="tx1"/>
            </w14:solidFill>
          </w14:textFill>
        </w:rPr>
        <w:t>accordance</w:t>
      </w:r>
      <w:r>
        <w:rPr>
          <w:rFonts w:ascii="Arial" w:hAnsi="Arial" w:cs="Arial"/>
          <w:color w:val="000000" w:themeColor="text1"/>
          <w:sz w:val="22"/>
          <w:szCs w:val="22"/>
          <w:lang w:val="en-GB" w:eastAsia="en-GB"/>
          <w14:textFill>
            <w14:solidFill>
              <w14:schemeClr w14:val="tx1"/>
            </w14:solidFill>
          </w14:textFill>
        </w:rPr>
        <w:t xml:space="preserve"> with the Act the municipality, under exceptional circumstances, may request </w:t>
      </w:r>
      <w:r>
        <w:rPr>
          <w:rFonts w:ascii="Arial" w:hAnsi="Arial" w:cs="Arial"/>
          <w:color w:val="000000" w:themeColor="text1"/>
          <w:sz w:val="22"/>
          <w:szCs w:val="22"/>
          <w14:textFill>
            <w14:solidFill>
              <w14:schemeClr w14:val="tx1"/>
            </w14:solidFill>
          </w14:textFill>
        </w:rPr>
        <w:t>the MEC for Local Government and Housing in the province to extend the validity of the valuation roll to 5 (five) years.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19.3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Supplementary valuations may be done on a continual basis but at least on an annual basis.</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38" w:name="_Toc215922546"/>
      <w:r>
        <w:rPr>
          <w:rFonts w:ascii="Arial" w:hAnsi="Arial" w:cs="Arial"/>
          <w:color w:val="000000" w:themeColor="text1"/>
          <w:sz w:val="22"/>
          <w:szCs w:val="22"/>
          <w14:textFill>
            <w14:solidFill>
              <w14:schemeClr w14:val="tx1"/>
            </w14:solidFill>
          </w14:textFill>
        </w:rPr>
        <w:t>20.</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COMMUNITY PARTICIPATION</w:t>
      </w:r>
      <w:bookmarkEnd w:id="38"/>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Before the municipality adopts the rates policy, the Accounting Officer will follow the process of community participation envisaged in chapter 4 of the Municipal Systems Act and comply with the following requirements:-</w:t>
      </w:r>
    </w:p>
    <w:p>
      <w:pPr>
        <w:spacing w:line="360" w:lineRule="auto"/>
        <w:ind w:left="1620" w:hanging="96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Council must establish appropriate mechanisms, processes and procedures to enable the local community to participate and will provide for consultative sessions with locally recognized community organisations and where appropriate traditional authorities.</w:t>
      </w:r>
    </w:p>
    <w:p>
      <w:pPr>
        <w:spacing w:line="360" w:lineRule="auto"/>
        <w:ind w:left="1560" w:hanging="8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Conspicuously display the draft rates policy for a period of at least 30 days (municipality to include period decided on) at the municipality’s head and satellite offices, libraries and on the website.</w:t>
      </w:r>
    </w:p>
    <w:p>
      <w:pPr>
        <w:spacing w:line="360" w:lineRule="auto"/>
        <w:ind w:left="1560" w:hanging="8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Advertise in the media a notice stating that the draft rates policy has been prepared for submission to council and that such policy is available at the various municipal offices and on the website for public inspection.</w:t>
      </w:r>
    </w:p>
    <w:p>
      <w:pPr>
        <w:spacing w:line="360" w:lineRule="auto"/>
        <w:ind w:left="1560" w:hanging="8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Property owners and interest persons may obtain a copy of the draft policy from the municipal offices during office hours at a fee as determined by Council as part of its annual tariffs. Property owners and interest persons are invited to submit written comments or representations to the municipality within the specified period in the notice.</w:t>
      </w:r>
    </w:p>
    <w:p>
      <w:pPr>
        <w:spacing w:line="360" w:lineRule="auto"/>
        <w:ind w:left="1560" w:hanging="8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Council will consider all comments and/or representations received when considering the finalisation of the rates policy.</w:t>
      </w:r>
    </w:p>
    <w:p>
      <w:pPr>
        <w:spacing w:line="360" w:lineRule="auto"/>
        <w:ind w:left="1560" w:hanging="8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20.1.6  After objection date of valuation roll has expired as per legislation requirement, consumers who will object will be subjected to a valuation fee as determined by Council.</w:t>
      </w:r>
    </w:p>
    <w:p>
      <w:pPr>
        <w:spacing w:line="360" w:lineRule="auto"/>
        <w:ind w:left="1560" w:hanging="84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20.1.7</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shall communicate the outcomes of the consultation process in accordance with section 17 of the Municipal Systems Act 32 of 2000.</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39" w:name="_Toc215922547"/>
      <w:r>
        <w:rPr>
          <w:rFonts w:ascii="Arial" w:hAnsi="Arial" w:cs="Arial"/>
          <w:color w:val="000000" w:themeColor="text1"/>
          <w:sz w:val="22"/>
          <w:szCs w:val="22"/>
          <w14:textFill>
            <w14:solidFill>
              <w14:schemeClr w14:val="tx1"/>
            </w14:solidFill>
          </w14:textFill>
        </w:rPr>
        <w:t>21.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REGISTER OF PROPERTIES</w:t>
      </w:r>
      <w:bookmarkEnd w:id="39"/>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21.1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will compile and maintain a register in respect of all properties situated within the jurisdiction of the municipality. The register will be divided into Part A and Part B.</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21.2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Part A of the register will consist of the current valuation roll of the municipality and will include all supplementary valuations done from time to time.</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21.3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Part B of the register will specify which properties on the valuation roll or any supplementary valuation roll are subject to:</w:t>
      </w:r>
    </w:p>
    <w:p>
      <w:pPr>
        <w:spacing w:line="360" w:lineRule="auto"/>
        <w:ind w:left="72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i.</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Exemption from rates in terms of section 15 of the Property Rates Act,</w:t>
      </w:r>
    </w:p>
    <w:p>
      <w:pPr>
        <w:numPr>
          <w:ilvl w:val="0"/>
          <w:numId w:val="5"/>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Rebate or reduction in terms of section 15,</w:t>
      </w:r>
    </w:p>
    <w:p>
      <w:pPr>
        <w:numPr>
          <w:ilvl w:val="0"/>
          <w:numId w:val="5"/>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Phasing-in of rates in terms of section 21, and</w:t>
      </w:r>
    </w:p>
    <w:p>
      <w:pPr>
        <w:numPr>
          <w:ilvl w:val="0"/>
          <w:numId w:val="5"/>
        </w:numPr>
        <w:spacing w:line="360"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Exclusions as referred to in section 17.</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21.4</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register will be open for inspection by the public at the municipal main offices during office hours or on the website of the municipality.</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21.5</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will update Part A of the register during the supplementary valuation process.</w:t>
      </w:r>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21.6</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Part B of the register will be updated on an annual basis as part of the implementation of the municipality’s annual budget.</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40" w:name="_Toc215922548"/>
      <w:r>
        <w:rPr>
          <w:rFonts w:ascii="Arial" w:hAnsi="Arial" w:cs="Arial"/>
          <w:color w:val="000000" w:themeColor="text1"/>
          <w:sz w:val="22"/>
          <w:szCs w:val="22"/>
          <w14:textFill>
            <w14:solidFill>
              <w14:schemeClr w14:val="tx1"/>
            </w14:solidFill>
          </w14:textFill>
        </w:rPr>
        <w:t>22.</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BY-LAWS TO GIVE EFFECT TO THE RATES POLICY</w:t>
      </w:r>
      <w:bookmarkEnd w:id="40"/>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22.1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municipality has adopted By-laws in May 2009 to give effect to the implementation of the Rates Policy and such By-laws may differentiate between different categories of properties and different categories of owners of properties liable for the payment of rates.</w:t>
      </w:r>
    </w:p>
    <w:p>
      <w:pPr>
        <w:pStyle w:val="2"/>
        <w:tabs>
          <w:tab w:val="left" w:pos="709"/>
        </w:tabs>
        <w:spacing w:line="360" w:lineRule="auto"/>
        <w:rPr>
          <w:rFonts w:ascii="Arial" w:hAnsi="Arial" w:cs="Arial"/>
          <w:color w:val="000000" w:themeColor="text1"/>
          <w:sz w:val="22"/>
          <w:szCs w:val="22"/>
          <w14:textFill>
            <w14:solidFill>
              <w14:schemeClr w14:val="tx1"/>
            </w14:solidFill>
          </w14:textFill>
        </w:rPr>
      </w:pPr>
      <w:bookmarkStart w:id="41" w:name="_Toc215922549"/>
      <w:r>
        <w:rPr>
          <w:rFonts w:ascii="Arial" w:hAnsi="Arial" w:cs="Arial"/>
          <w:color w:val="000000" w:themeColor="text1"/>
          <w:sz w:val="22"/>
          <w:szCs w:val="22"/>
          <w14:textFill>
            <w14:solidFill>
              <w14:schemeClr w14:val="tx1"/>
            </w14:solidFill>
          </w14:textFill>
        </w:rPr>
        <w:t>23.</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REGULAR REVIEW PROCESSES</w:t>
      </w:r>
      <w:bookmarkEnd w:id="41"/>
    </w:p>
    <w:p>
      <w:pPr>
        <w:spacing w:before="240" w:line="360" w:lineRule="auto"/>
        <w:ind w:left="705" w:hanging="705"/>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23.1</w:t>
      </w:r>
      <w:r>
        <w:rPr>
          <w:rFonts w:ascii="Arial" w:hAnsi="Arial" w:cs="Arial"/>
          <w:color w:val="000000" w:themeColor="text1"/>
          <w:sz w:val="22"/>
          <w:szCs w:val="22"/>
          <w14:textFill>
            <w14:solidFill>
              <w14:schemeClr w14:val="tx1"/>
            </w14:solidFill>
          </w14:textFill>
        </w:rPr>
        <w:tab/>
      </w:r>
      <w:r>
        <w:rPr>
          <w:rFonts w:ascii="Arial" w:hAnsi="Arial" w:cs="Arial"/>
          <w:color w:val="000000" w:themeColor="text1"/>
          <w:sz w:val="22"/>
          <w:szCs w:val="22"/>
          <w14:textFill>
            <w14:solidFill>
              <w14:schemeClr w14:val="tx1"/>
            </w14:solidFill>
          </w14:textFill>
        </w:rPr>
        <w:t>The rates policy shall be reviewed on an annual basis to ensure that it complies with the Municipality’s strategic objectives is contained in the Integrated Development Plan and any relevant legislation.</w:t>
      </w:r>
    </w:p>
    <w:p>
      <w:pPr>
        <w:autoSpaceDE w:val="0"/>
        <w:autoSpaceDN w:val="0"/>
        <w:adjustRightInd w:val="0"/>
        <w:rPr>
          <w:rFonts w:ascii="Arial" w:hAnsi="Arial" w:cs="Arial"/>
          <w:color w:val="000000" w:themeColor="text1"/>
          <w:sz w:val="22"/>
          <w:szCs w:val="22"/>
          <w14:textFill>
            <w14:solidFill>
              <w14:schemeClr w14:val="tx1"/>
            </w14:solidFill>
          </w14:textFill>
        </w:rPr>
      </w:pPr>
    </w:p>
    <w:sectPr>
      <w:headerReference r:id="rId3" w:type="default"/>
      <w:footerReference r:id="rId4" w:type="default"/>
      <w:pgSz w:w="12240" w:h="15840"/>
      <w:pgMar w:top="1440" w:right="900" w:bottom="993"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EBMDB+Arial,Bold">
    <w:altName w:val="Arial"/>
    <w:panose1 w:val="00000000000000000000"/>
    <w:charset w:val="00"/>
    <w:family w:val="swiss"/>
    <w:pitch w:val="default"/>
    <w:sig w:usb0="00000000" w:usb1="00000000" w:usb2="00000000" w:usb3="00000000" w:csb0="00000001" w:csb1="00000000"/>
  </w:font>
  <w:font w:name="APFEO L+ Helvetica">
    <w:altName w:val="Arial"/>
    <w:panose1 w:val="00000000000000000000"/>
    <w:charset w:val="00"/>
    <w:family w:val="swiss"/>
    <w:pitch w:val="default"/>
    <w:sig w:usb0="00000000" w:usb1="00000000" w:usb2="00000000" w:usb3="00000000" w:csb0="00000001" w:csb1="00000000"/>
  </w:font>
  <w:font w:name="mn-cs">
    <w:altName w:val="Segoe Print"/>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71382"/>
    </w:sdtPr>
    <w:sdtContent>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70230" cy="238760"/>
                  <wp:effectExtent l="19050" t="19050" r="16510" b="18415"/>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570230" cy="238760"/>
                          </a:xfrm>
                          <a:prstGeom prst="bracketPair">
                            <a:avLst>
                              <a:gd name="adj" fmla="val 16667"/>
                            </a:avLst>
                          </a:prstGeom>
                          <a:solidFill>
                            <a:schemeClr val="bg1">
                              <a:lumMod val="100000"/>
                              <a:lumOff val="0"/>
                            </a:schemeClr>
                          </a:solidFill>
                          <a:ln w="28575">
                            <a:solidFill>
                              <a:schemeClr val="tx1">
                                <a:lumMod val="50000"/>
                                <a:lumOff val="50000"/>
                              </a:schemeClr>
                            </a:solidFill>
                            <a:round/>
                          </a:ln>
                        </wps:spPr>
                        <wps:txbx>
                          <w:txbxContent>
                            <w:p>
                              <w:pPr>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14</w:t>
                              </w:r>
                              <w:r>
                                <w:rPr>
                                  <w:sz w:val="22"/>
                                  <w:szCs w:val="22"/>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page">
                    <wp14:pctHeight>0</wp14:pctHeight>
                  </wp14:sizeRelV>
                </wp:anchor>
              </w:drawing>
            </mc:Choice>
            <mc:Fallback>
              <w:pict>
                <v:shape id="AutoShape 6" o:spid="_x0000_s1026" o:spt="185" type="#_x0000_t185" style="position:absolute;left:0pt;margin-left:306.15pt;margin-top:757.7pt;height:18.8pt;width:44.9pt;mso-position-horizontal-relative:page;mso-position-vertical-relative:page;z-index:251661312;mso-width-relative:margin;mso-height-relative:page;mso-width-percent:100;" fillcolor="#FFFFFF [3228]" filled="t" stroked="t" coordsize="21600,21600" o:gfxdata="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kN/1dYAAAADAQAADwAAAAAAAAABACAA&#10;AAAiAAAAZHJzL2Rvd25yZXYueG1sUEsBAhQAFAAAAAgAh07iQDz2tDtIAgAAvAQAAA4AAAAAAAAA&#10;AQAgAAAAJQEAAGRycy9lMm9Eb2MueG1sUEsFBgAAAAAGAAYAWQEAAN8FAAAAAA==&#10;" adj="3600">
                  <v:fill on="t" focussize="0,0"/>
                  <v:stroke weight="2.25pt" color="#808080 [1629]" joinstyle="round"/>
                  <v:imagedata o:title=""/>
                  <o:lock v:ext="edit" aspectratio="f"/>
                  <v:textbox inset="2.54mm,0mm,2.54mm,0mm">
                    <w:txbxContent>
                      <w:p>
                        <w:pPr>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14</w:t>
                        </w:r>
                        <w:r>
                          <w:rPr>
                            <w:sz w:val="22"/>
                            <w:szCs w:val="22"/>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5"/>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ln>
                        </wps:spPr>
                        <wps:bodyPr/>
                      </wps:wsp>
                    </a:graphicData>
                  </a:graphic>
                </wp:anchor>
              </w:drawing>
            </mc:Choice>
            <mc:Fallback>
              <w:pict>
                <v:shape id="AutoShape 5" o:spid="_x0000_s1026" o:spt="32" type="#_x0000_t32" style="position:absolute;left:0pt;margin-left:111.35pt;margin-top:767.1pt;height:0pt;width:434.5pt;mso-position-horizontal-relative:page;mso-position-vertical-relative:page;z-index:251660288;mso-width-relative:page;mso-height-relative:page;" filled="f" stroked="t" coordsize="21600,21600" o:gfxdata="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PxtwNEAAAACAQAADwAAAAAAAAABACAAAAAiAAAAZHJzL2Rv&#10;d25yZXYueG1sUEsBAhQAFAAAAAgAh07iQJ8/sRHPAQAAngMAAA4AAAAAAAAAAQAgAAAAIAEAAGRy&#10;cy9lMm9Eb2MueG1sUEsFBgAAAAAGAAYAWQEAAGEFAAAAAA==&#10;">
                  <v:fill on="f" focussize="0,0"/>
                  <v:stroke weight="1pt" color="#808080 [1629]" joinstyle="round"/>
                  <v:imagedata o:title=""/>
                  <o:lock v:ext="edit" aspectratio="f"/>
                </v:shape>
              </w:pict>
            </mc:Fallback>
          </mc:AlternateContent>
        </w:r>
        <w:r>
          <w:t>Ngwathe Property Rates Policy 201</w:t>
        </w:r>
        <w:r>
          <w:rPr>
            <w:lang w:val="en-ZA"/>
          </w:rPr>
          <w:t>7</w:t>
        </w:r>
        <w:r>
          <w:t>-1</w:t>
        </w:r>
        <w:r>
          <w:rPr>
            <w:lang w:val="en-ZA"/>
          </w:rPr>
          <w:t>8</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val="en-ZA"/>
      </w:rPr>
    </w:pPr>
    <w:r>
      <mc:AlternateContent>
        <mc:Choice Requires="wpg">
          <w:drawing>
            <wp:anchor distT="0" distB="0" distL="114300" distR="114300" simplePos="0" relativeHeight="251658240" behindDoc="0" locked="0" layoutInCell="0" allowOverlap="1">
              <wp:simplePos x="0" y="0"/>
              <wp:positionH relativeFrom="page">
                <wp:posOffset>1066800</wp:posOffset>
              </wp:positionH>
              <wp:positionV relativeFrom="topMargin">
                <wp:posOffset>224790</wp:posOffset>
              </wp:positionV>
              <wp:extent cx="5986780" cy="530225"/>
              <wp:effectExtent l="9525" t="15240" r="13970" b="6985"/>
              <wp:wrapNone/>
              <wp:docPr id="3" name="Group 1"/>
              <wp:cNvGraphicFramePr/>
              <a:graphic xmlns:a="http://schemas.openxmlformats.org/drawingml/2006/main">
                <a:graphicData uri="http://schemas.microsoft.com/office/word/2010/wordprocessingGroup">
                  <wpg:wgp>
                    <wpg:cNvGrpSpPr/>
                    <wpg:grpSpPr>
                      <a:xfrm>
                        <a:off x="0" y="0"/>
                        <a:ext cx="5986780" cy="530225"/>
                        <a:chOff x="330" y="308"/>
                        <a:chExt cx="11586" cy="835"/>
                      </a:xfrm>
                    </wpg:grpSpPr>
                    <wps:wsp>
                      <wps:cNvPr id="4" name="Rectangle 2"/>
                      <wps:cNvSpPr>
                        <a:spLocks noChangeArrowheads="1"/>
                      </wps:cNvSpPr>
                      <wps:spPr bwMode="auto">
                        <a:xfrm>
                          <a:off x="377" y="360"/>
                          <a:ext cx="9346" cy="720"/>
                        </a:xfrm>
                        <a:prstGeom prst="rect">
                          <a:avLst/>
                        </a:prstGeom>
                        <a:solidFill>
                          <a:schemeClr val="accent6">
                            <a:lumMod val="75000"/>
                            <a:lumOff val="0"/>
                          </a:schemeClr>
                        </a:solidFill>
                        <a:ln>
                          <a:noFill/>
                        </a:ln>
                      </wps:spPr>
                      <wps:txbx>
                        <w:txbxContent>
                          <w:sdt>
                            <w:sdtPr>
                              <w:rPr>
                                <w:rFonts w:ascii="Tahoma" w:hAnsi="Tahoma" w:cs="Tahoma"/>
                                <w:color w:val="FFFFFF" w:themeColor="background1"/>
                                <w:sz w:val="22"/>
                                <w:szCs w:val="22"/>
                                <w14:textFill>
                                  <w14:solidFill>
                                    <w14:schemeClr w14:val="bg1"/>
                                  </w14:solidFill>
                                </w14:textFill>
                              </w:rPr>
                              <w:alias w:val="Title"/>
                              <w:id w:val="-378241617"/>
                              <w15:dataBinding w:prefixMappings="xmlns:ns0='http://schemas.openxmlformats.org/package/2006/metadata/core-properties' xmlns:ns1='http://purl.org/dc/elements/1.1/'" w:xpath="/ns0:coreProperties[1]/ns1:title[1]" w:storeItemID="{6C3C8BC8-F283-45AE-878A-BAB7291924A1}"/>
                              <w:text/>
                            </w:sdtPr>
                            <w:sdtEndPr>
                              <w:rPr>
                                <w:rFonts w:ascii="Tahoma" w:hAnsi="Tahoma" w:cs="Tahoma"/>
                                <w:color w:val="FFFFFF" w:themeColor="background1"/>
                                <w:sz w:val="22"/>
                                <w:szCs w:val="22"/>
                                <w14:textFill>
                                  <w14:solidFill>
                                    <w14:schemeClr w14:val="bg1"/>
                                  </w14:solidFill>
                                </w14:textFill>
                              </w:rPr>
                            </w:sdtEndPr>
                            <w:sdtContent>
                              <w:p>
                                <w:pPr>
                                  <w:pStyle w:val="12"/>
                                  <w:ind w:left="3686" w:hanging="3686"/>
                                  <w:rPr>
                                    <w:rFonts w:ascii="Tahoma" w:hAnsi="Tahoma" w:cs="Tahoma"/>
                                    <w:color w:val="FFFFFF" w:themeColor="background1"/>
                                    <w:sz w:val="22"/>
                                    <w:szCs w:val="22"/>
                                    <w14:textFill>
                                      <w14:solidFill>
                                        <w14:schemeClr w14:val="bg1"/>
                                      </w14:solidFill>
                                    </w14:textFill>
                                  </w:rPr>
                                </w:pPr>
                                <w:r>
                                  <w:rPr>
                                    <w:rFonts w:ascii="Tahoma" w:hAnsi="Tahoma" w:cs="Tahoma"/>
                                    <w:color w:val="FFFFFF" w:themeColor="background1"/>
                                    <w:sz w:val="22"/>
                                    <w:szCs w:val="22"/>
                                    <w:lang w:val="en-ZA"/>
                                    <w14:textFill>
                                      <w14:solidFill>
                                        <w14:schemeClr w14:val="bg1"/>
                                      </w14:solidFill>
                                    </w14:textFill>
                                  </w:rPr>
                                  <w:t>NGWATHE LOCAL MUNICIPALITY –  PROPERTY RATES POLICY</w:t>
                                </w:r>
                              </w:p>
                            </w:sdtContent>
                          </w:sdt>
                        </w:txbxContent>
                      </wps:txbx>
                      <wps:bodyPr rot="0" vert="horz" wrap="square" lIns="91440" tIns="45720" rIns="91440" bIns="45720" anchor="ctr" anchorCtr="0" upright="1">
                        <a:noAutofit/>
                      </wps:bodyPr>
                    </wps:wsp>
                    <wps:wsp>
                      <wps:cNvPr id="5" name="Rectangle 3"/>
                      <wps:cNvSpPr>
                        <a:spLocks noChangeArrowheads="1"/>
                      </wps:cNvSpPr>
                      <wps:spPr bwMode="auto">
                        <a:xfrm>
                          <a:off x="9763" y="360"/>
                          <a:ext cx="2102" cy="720"/>
                        </a:xfrm>
                        <a:prstGeom prst="rect">
                          <a:avLst/>
                        </a:prstGeom>
                        <a:solidFill>
                          <a:schemeClr val="accent3">
                            <a:lumMod val="100000"/>
                            <a:lumOff val="0"/>
                          </a:schemeClr>
                        </a:solidFill>
                        <a:ln>
                          <a:noFill/>
                        </a:ln>
                      </wps:spPr>
                      <wps:txbx>
                        <w:txbxContent>
                          <w:p>
                            <w:pPr>
                              <w:pStyle w:val="12"/>
                              <w:jc w:val="center"/>
                              <w:rPr>
                                <w:rFonts w:ascii="Tahoma" w:hAnsi="Tahoma" w:cs="Tahoma"/>
                                <w:color w:val="FFFFFF" w:themeColor="background1"/>
                                <w:sz w:val="22"/>
                                <w:szCs w:val="22"/>
                                <w14:textFill>
                                  <w14:solidFill>
                                    <w14:schemeClr w14:val="bg1"/>
                                  </w14:solidFill>
                                </w14:textFill>
                              </w:rPr>
                            </w:pPr>
                            <w:r>
                              <w:rPr>
                                <w:rFonts w:ascii="Tahoma" w:hAnsi="Tahoma" w:cs="Tahoma"/>
                                <w:color w:val="FFFFFF" w:themeColor="background1"/>
                                <w:sz w:val="22"/>
                                <w:szCs w:val="22"/>
                                <w:lang w:val="en-ZA"/>
                                <w14:textFill>
                                  <w14:solidFill>
                                    <w14:schemeClr w14:val="bg1"/>
                                  </w14:solidFill>
                                </w14:textFill>
                              </w:rPr>
                              <w:t>2017/2018</w:t>
                            </w:r>
                            <w:sdt>
                              <w:sdtPr>
                                <w:rPr>
                                  <w:rFonts w:ascii="Tahoma" w:hAnsi="Tahoma" w:cs="Tahoma"/>
                                  <w:color w:val="FFFFFF" w:themeColor="background1"/>
                                  <w:sz w:val="22"/>
                                  <w:szCs w:val="22"/>
                                  <w14:textFill>
                                    <w14:solidFill>
                                      <w14:schemeClr w14:val="bg1"/>
                                    </w14:solidFill>
                                  </w14:textFill>
                                </w:rPr>
                                <w:alias w:val="Year"/>
                                <w:id w:val="5971284"/>
                                <w15: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rPr>
                                  <w:rFonts w:ascii="Tahoma" w:hAnsi="Tahoma" w:cs="Tahoma"/>
                                  <w:color w:val="FFFFFF" w:themeColor="background1"/>
                                  <w:sz w:val="22"/>
                                  <w:szCs w:val="22"/>
                                  <w14:textFill>
                                    <w14:solidFill>
                                      <w14:schemeClr w14:val="bg1"/>
                                    </w14:solidFill>
                                  </w14:textFill>
                                </w:rPr>
                              </w:sdtEndPr>
                              <w:sdtContent/>
                            </w:sdt>
                          </w:p>
                        </w:txbxContent>
                      </wps:txbx>
                      <wps:bodyPr rot="0" vert="horz" wrap="square" lIns="91440" tIns="45720" rIns="91440" bIns="45720" anchor="ctr" anchorCtr="0" upright="1">
                        <a:noAutofit/>
                      </wps:bodyPr>
                    </wps:wsp>
                    <wps:wsp>
                      <wps:cNvPr id="6" name="Rectangle 4"/>
                      <wps:cNvSpPr>
                        <a:spLocks noChangeArrowheads="1"/>
                      </wps:cNvSpPr>
                      <wps:spPr bwMode="auto">
                        <a:xfrm>
                          <a:off x="330" y="308"/>
                          <a:ext cx="11586" cy="835"/>
                        </a:xfrm>
                        <a:prstGeom prst="rect">
                          <a:avLst/>
                        </a:prstGeom>
                        <a:noFill/>
                        <a:ln w="12700">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84pt;margin-top:17.7pt;height:41.75pt;width:471.4pt;mso-position-horizontal-relative:page;mso-position-vertical-relative:page;z-index:251658240;mso-width-relative:page;mso-height-relative:page;" coordorigin="330,308" coordsize="11586,835" o:allowincell="f" o:gfxdata="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AWgELHZ&#10;AAAACwEAAA8AAAAAAAAAAQAgAAAAIgAAAGRycy9kb3ducmV2LnhtbFBLAQIUABQAAAAIAIdO4kAa&#10;cVw3AwMAAEAKAAAOAAAAAAAAAAEAIAAAACgBAABkcnMvZTJvRG9jLnhtbFBLBQYAAAAABgAGAFkB&#10;AACdBgAAAAA=&#10;">
              <o:lock v:ext="edit" aspectratio="f"/>
              <v:rect id="Rectangle 2" o:spid="_x0000_s1026" o:spt="1" style="position:absolute;left:377;top:360;height:720;width:9346;v-text-anchor:middle;" fillcolor="#E46C0A [3209]" filled="t" stroked="f" coordsize="21600,21600" o:gfxdata="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qelutwAAANoAAAAP&#10;AAAAAAAAAAEAIAAAACIAAABkcnMvZG93bnJldi54bWxQSwECFAAUAAAACACHTuJAMy8FnjsAAAA5&#10;AAAAEAAAAAAAAAABACAAAAAGAQAAZHJzL3NoYXBleG1sLnhtbFBLBQYAAAAABgAGAFsBAACwAwAA&#10;AAA=&#10;">
                <v:fill on="t" focussize="0,0"/>
                <v:stroke on="f"/>
                <v:imagedata o:title=""/>
                <o:lock v:ext="edit" aspectratio="f"/>
                <v:textbox>
                  <w:txbxContent>
                    <w:sdt>
                      <w:sdtPr>
                        <w:rPr>
                          <w:rFonts w:ascii="Tahoma" w:hAnsi="Tahoma" w:cs="Tahoma"/>
                          <w:color w:val="FFFFFF" w:themeColor="background1"/>
                          <w:sz w:val="22"/>
                          <w:szCs w:val="22"/>
                          <w14:textFill>
                            <w14:solidFill>
                              <w14:schemeClr w14:val="bg1"/>
                            </w14:solidFill>
                          </w14:textFill>
                        </w:rPr>
                        <w:alias w:val="Title"/>
                        <w:id w:val="-378241617"/>
                        <w15:dataBinding w:prefixMappings="xmlns:ns0='http://schemas.openxmlformats.org/package/2006/metadata/core-properties' xmlns:ns1='http://purl.org/dc/elements/1.1/'" w:xpath="/ns0:coreProperties[1]/ns1:title[1]" w:storeItemID="{6C3C8BC8-F283-45AE-878A-BAB7291924A1}"/>
                        <w:text/>
                      </w:sdtPr>
                      <w:sdtEndPr>
                        <w:rPr>
                          <w:rFonts w:ascii="Tahoma" w:hAnsi="Tahoma" w:cs="Tahoma"/>
                          <w:color w:val="FFFFFF" w:themeColor="background1"/>
                          <w:sz w:val="22"/>
                          <w:szCs w:val="22"/>
                          <w14:textFill>
                            <w14:solidFill>
                              <w14:schemeClr w14:val="bg1"/>
                            </w14:solidFill>
                          </w14:textFill>
                        </w:rPr>
                      </w:sdtEndPr>
                      <w:sdtContent>
                        <w:p>
                          <w:pPr>
                            <w:pStyle w:val="12"/>
                            <w:ind w:left="3686" w:hanging="3686"/>
                            <w:rPr>
                              <w:rFonts w:ascii="Tahoma" w:hAnsi="Tahoma" w:cs="Tahoma"/>
                              <w:color w:val="FFFFFF" w:themeColor="background1"/>
                              <w:sz w:val="22"/>
                              <w:szCs w:val="22"/>
                              <w14:textFill>
                                <w14:solidFill>
                                  <w14:schemeClr w14:val="bg1"/>
                                </w14:solidFill>
                              </w14:textFill>
                            </w:rPr>
                          </w:pPr>
                          <w:r>
                            <w:rPr>
                              <w:rFonts w:ascii="Tahoma" w:hAnsi="Tahoma" w:cs="Tahoma"/>
                              <w:color w:val="FFFFFF" w:themeColor="background1"/>
                              <w:sz w:val="22"/>
                              <w:szCs w:val="22"/>
                              <w:lang w:val="en-ZA"/>
                              <w14:textFill>
                                <w14:solidFill>
                                  <w14:schemeClr w14:val="bg1"/>
                                </w14:solidFill>
                              </w14:textFill>
                            </w:rPr>
                            <w:t>NGWATHE LOCAL MUNICIPALITY –  PROPERTY RATES POLICY</w:t>
                          </w:r>
                        </w:p>
                      </w:sdtContent>
                    </w:sdt>
                  </w:txbxContent>
                </v:textbox>
              </v:rect>
              <v:rect id="Rectangle 3" o:spid="_x0000_s1026" o:spt="1" style="position:absolute;left:9763;top:360;height:720;width:2102;v-text-anchor:middle;" fillcolor="#9BBB59 [3222]" filled="t" stroked="f" coordsize="21600,21600" o:gfxdata="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hO374A&#10;AADaAAAADwAAAAAAAAABACAAAAAiAAAAZHJzL2Rvd25yZXYueG1sUEsBAhQAFAAAAAgAh07iQDMv&#10;BZ47AAAAOQAAABAAAAAAAAAAAQAgAAAADQEAAGRycy9zaGFwZXhtbC54bWxQSwUGAAAAAAYABgBb&#10;AQAAtwMAAAAA&#10;">
                <v:fill on="t" focussize="0,0"/>
                <v:stroke on="f"/>
                <v:imagedata o:title=""/>
                <o:lock v:ext="edit" aspectratio="f"/>
                <v:textbox>
                  <w:txbxContent>
                    <w:p>
                      <w:pPr>
                        <w:pStyle w:val="12"/>
                        <w:jc w:val="center"/>
                        <w:rPr>
                          <w:rFonts w:ascii="Tahoma" w:hAnsi="Tahoma" w:cs="Tahoma"/>
                          <w:color w:val="FFFFFF" w:themeColor="background1"/>
                          <w:sz w:val="22"/>
                          <w:szCs w:val="22"/>
                          <w14:textFill>
                            <w14:solidFill>
                              <w14:schemeClr w14:val="bg1"/>
                            </w14:solidFill>
                          </w14:textFill>
                        </w:rPr>
                      </w:pPr>
                      <w:r>
                        <w:rPr>
                          <w:rFonts w:ascii="Tahoma" w:hAnsi="Tahoma" w:cs="Tahoma"/>
                          <w:color w:val="FFFFFF" w:themeColor="background1"/>
                          <w:sz w:val="22"/>
                          <w:szCs w:val="22"/>
                          <w:lang w:val="en-ZA"/>
                          <w14:textFill>
                            <w14:solidFill>
                              <w14:schemeClr w14:val="bg1"/>
                            </w14:solidFill>
                          </w14:textFill>
                        </w:rPr>
                        <w:t>2017/2018</w:t>
                      </w:r>
                      <w:sdt>
                        <w:sdtPr>
                          <w:rPr>
                            <w:rFonts w:ascii="Tahoma" w:hAnsi="Tahoma" w:cs="Tahoma"/>
                            <w:color w:val="FFFFFF" w:themeColor="background1"/>
                            <w:sz w:val="22"/>
                            <w:szCs w:val="22"/>
                            <w14:textFill>
                              <w14:solidFill>
                                <w14:schemeClr w14:val="bg1"/>
                              </w14:solidFill>
                            </w14:textFill>
                          </w:rPr>
                          <w:alias w:val="Year"/>
                          <w:id w:val="5971284"/>
                          <w15: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rPr>
                            <w:rFonts w:ascii="Tahoma" w:hAnsi="Tahoma" w:cs="Tahoma"/>
                            <w:color w:val="FFFFFF" w:themeColor="background1"/>
                            <w:sz w:val="22"/>
                            <w:szCs w:val="22"/>
                            <w14:textFill>
                              <w14:solidFill>
                                <w14:schemeClr w14:val="bg1"/>
                              </w14:solidFill>
                            </w14:textFill>
                          </w:rPr>
                        </w:sdtEndPr>
                        <w:sdtContent/>
                      </w:sdt>
                    </w:p>
                  </w:txbxContent>
                </v:textbox>
              </v:rect>
              <v:rect id="Rectangle 4" o:spid="_x0000_s1026" o:spt="1" style="position:absolute;left:330;top:308;height:835;width:11586;" filled="f" stroked="t" coordsize="21600,21600" o:gfxdata="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C+vQAA&#10;ANo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654"/>
    <w:multiLevelType w:val="multilevel"/>
    <w:tmpl w:val="126B56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3DC65E3"/>
    <w:multiLevelType w:val="multilevel"/>
    <w:tmpl w:val="23DC65E3"/>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26CE5C"/>
    <w:multiLevelType w:val="singleLevel"/>
    <w:tmpl w:val="5926CE5C"/>
    <w:lvl w:ilvl="0" w:tentative="0">
      <w:start w:val="1"/>
      <w:numFmt w:val="bullet"/>
      <w:lvlText w:val=""/>
      <w:lvlJc w:val="left"/>
      <w:pPr>
        <w:ind w:left="420" w:leftChars="0" w:hanging="420" w:firstLineChars="0"/>
      </w:pPr>
      <w:rPr>
        <w:rFonts w:hint="default" w:ascii="Wingdings" w:hAnsi="Wingdings"/>
      </w:rPr>
    </w:lvl>
  </w:abstractNum>
  <w:abstractNum w:abstractNumId="3">
    <w:nsid w:val="736B27D1"/>
    <w:multiLevelType w:val="multilevel"/>
    <w:tmpl w:val="736B27D1"/>
    <w:lvl w:ilvl="0" w:tentative="0">
      <w:start w:val="1"/>
      <w:numFmt w:val="lowerLetter"/>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4">
    <w:nsid w:val="7A1E295F"/>
    <w:multiLevelType w:val="multilevel"/>
    <w:tmpl w:val="7A1E295F"/>
    <w:lvl w:ilvl="0" w:tentative="0">
      <w:start w:val="2"/>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23"/>
    <w:rsid w:val="00011B74"/>
    <w:rsid w:val="00013BC9"/>
    <w:rsid w:val="00044C41"/>
    <w:rsid w:val="00052413"/>
    <w:rsid w:val="0005293F"/>
    <w:rsid w:val="00060077"/>
    <w:rsid w:val="00060B6C"/>
    <w:rsid w:val="00063E36"/>
    <w:rsid w:val="000674A5"/>
    <w:rsid w:val="00067875"/>
    <w:rsid w:val="00071221"/>
    <w:rsid w:val="00071955"/>
    <w:rsid w:val="00071EAE"/>
    <w:rsid w:val="00073934"/>
    <w:rsid w:val="00093C7E"/>
    <w:rsid w:val="00095DD9"/>
    <w:rsid w:val="000B4B2B"/>
    <w:rsid w:val="000B6028"/>
    <w:rsid w:val="000B6A5F"/>
    <w:rsid w:val="000C77AC"/>
    <w:rsid w:val="000D3CE1"/>
    <w:rsid w:val="000D3F0C"/>
    <w:rsid w:val="000D5847"/>
    <w:rsid w:val="000E3691"/>
    <w:rsid w:val="000E492D"/>
    <w:rsid w:val="000E4D6B"/>
    <w:rsid w:val="000F5B50"/>
    <w:rsid w:val="00100735"/>
    <w:rsid w:val="0010073B"/>
    <w:rsid w:val="00104A17"/>
    <w:rsid w:val="0011081B"/>
    <w:rsid w:val="001117CC"/>
    <w:rsid w:val="00111BF3"/>
    <w:rsid w:val="0011789C"/>
    <w:rsid w:val="00125090"/>
    <w:rsid w:val="00126505"/>
    <w:rsid w:val="00132B18"/>
    <w:rsid w:val="0013518A"/>
    <w:rsid w:val="001357A6"/>
    <w:rsid w:val="00137987"/>
    <w:rsid w:val="001400CE"/>
    <w:rsid w:val="001472C9"/>
    <w:rsid w:val="00150C16"/>
    <w:rsid w:val="00151786"/>
    <w:rsid w:val="001547E1"/>
    <w:rsid w:val="00155C84"/>
    <w:rsid w:val="001617BC"/>
    <w:rsid w:val="00165180"/>
    <w:rsid w:val="00180E0D"/>
    <w:rsid w:val="00181DF2"/>
    <w:rsid w:val="00187C41"/>
    <w:rsid w:val="001A00FE"/>
    <w:rsid w:val="001A0A32"/>
    <w:rsid w:val="001C173B"/>
    <w:rsid w:val="001C6D93"/>
    <w:rsid w:val="001D68C8"/>
    <w:rsid w:val="001E14B8"/>
    <w:rsid w:val="001E2620"/>
    <w:rsid w:val="001E2DD0"/>
    <w:rsid w:val="001E3F85"/>
    <w:rsid w:val="001E740C"/>
    <w:rsid w:val="001E78F4"/>
    <w:rsid w:val="001F10BF"/>
    <w:rsid w:val="001F71EF"/>
    <w:rsid w:val="002015C7"/>
    <w:rsid w:val="00201E39"/>
    <w:rsid w:val="002047AD"/>
    <w:rsid w:val="00206C8A"/>
    <w:rsid w:val="00207C91"/>
    <w:rsid w:val="0021305C"/>
    <w:rsid w:val="00222E2D"/>
    <w:rsid w:val="002328BE"/>
    <w:rsid w:val="0023351A"/>
    <w:rsid w:val="00234B79"/>
    <w:rsid w:val="00243F87"/>
    <w:rsid w:val="0024548F"/>
    <w:rsid w:val="00247707"/>
    <w:rsid w:val="00247DF6"/>
    <w:rsid w:val="0025006F"/>
    <w:rsid w:val="002507C4"/>
    <w:rsid w:val="002514A2"/>
    <w:rsid w:val="00252EC7"/>
    <w:rsid w:val="002562E0"/>
    <w:rsid w:val="00257971"/>
    <w:rsid w:val="00262E2C"/>
    <w:rsid w:val="002648FD"/>
    <w:rsid w:val="00266E4B"/>
    <w:rsid w:val="00271627"/>
    <w:rsid w:val="00272953"/>
    <w:rsid w:val="0027590A"/>
    <w:rsid w:val="00281EB1"/>
    <w:rsid w:val="00282B38"/>
    <w:rsid w:val="002874BE"/>
    <w:rsid w:val="00295B9F"/>
    <w:rsid w:val="002B6172"/>
    <w:rsid w:val="002C0ED3"/>
    <w:rsid w:val="002C35FE"/>
    <w:rsid w:val="002D5405"/>
    <w:rsid w:val="002D6D8F"/>
    <w:rsid w:val="002D73FD"/>
    <w:rsid w:val="002E02AA"/>
    <w:rsid w:val="002E2710"/>
    <w:rsid w:val="002E53B1"/>
    <w:rsid w:val="002E591F"/>
    <w:rsid w:val="002F34B7"/>
    <w:rsid w:val="002F4BF2"/>
    <w:rsid w:val="00300FA3"/>
    <w:rsid w:val="00301577"/>
    <w:rsid w:val="0030195C"/>
    <w:rsid w:val="00310B50"/>
    <w:rsid w:val="00312BAD"/>
    <w:rsid w:val="003165CC"/>
    <w:rsid w:val="003173D0"/>
    <w:rsid w:val="003206BD"/>
    <w:rsid w:val="00321E9B"/>
    <w:rsid w:val="0032367D"/>
    <w:rsid w:val="00323DEE"/>
    <w:rsid w:val="003278D9"/>
    <w:rsid w:val="00327B9B"/>
    <w:rsid w:val="00330042"/>
    <w:rsid w:val="00332984"/>
    <w:rsid w:val="00345322"/>
    <w:rsid w:val="00353C83"/>
    <w:rsid w:val="00363FD1"/>
    <w:rsid w:val="003660FC"/>
    <w:rsid w:val="00371255"/>
    <w:rsid w:val="00376B67"/>
    <w:rsid w:val="00381035"/>
    <w:rsid w:val="00384357"/>
    <w:rsid w:val="003852D7"/>
    <w:rsid w:val="003918C7"/>
    <w:rsid w:val="00394083"/>
    <w:rsid w:val="00394EE5"/>
    <w:rsid w:val="003A2714"/>
    <w:rsid w:val="003A2EE4"/>
    <w:rsid w:val="003A54AB"/>
    <w:rsid w:val="003B0276"/>
    <w:rsid w:val="003B3584"/>
    <w:rsid w:val="003B4ADC"/>
    <w:rsid w:val="003B5DEA"/>
    <w:rsid w:val="003C01AA"/>
    <w:rsid w:val="003C57AD"/>
    <w:rsid w:val="003C7E15"/>
    <w:rsid w:val="003D563D"/>
    <w:rsid w:val="003D7259"/>
    <w:rsid w:val="003E2FCA"/>
    <w:rsid w:val="003F02F4"/>
    <w:rsid w:val="003F5532"/>
    <w:rsid w:val="0040018E"/>
    <w:rsid w:val="004020A1"/>
    <w:rsid w:val="00403BD3"/>
    <w:rsid w:val="00404ECB"/>
    <w:rsid w:val="004153DD"/>
    <w:rsid w:val="00420FFF"/>
    <w:rsid w:val="00425618"/>
    <w:rsid w:val="0043008C"/>
    <w:rsid w:val="00430679"/>
    <w:rsid w:val="00431016"/>
    <w:rsid w:val="00435AEB"/>
    <w:rsid w:val="004411F0"/>
    <w:rsid w:val="00445BDF"/>
    <w:rsid w:val="00450A0A"/>
    <w:rsid w:val="00461D08"/>
    <w:rsid w:val="004651C2"/>
    <w:rsid w:val="00467FEE"/>
    <w:rsid w:val="004819A8"/>
    <w:rsid w:val="00483499"/>
    <w:rsid w:val="004841AD"/>
    <w:rsid w:val="004872DE"/>
    <w:rsid w:val="00490350"/>
    <w:rsid w:val="00495CC0"/>
    <w:rsid w:val="004A01F1"/>
    <w:rsid w:val="004A4A36"/>
    <w:rsid w:val="004A4B0C"/>
    <w:rsid w:val="004A7AF8"/>
    <w:rsid w:val="004B1B5C"/>
    <w:rsid w:val="004C1087"/>
    <w:rsid w:val="004C1C53"/>
    <w:rsid w:val="004C6DFE"/>
    <w:rsid w:val="004D669B"/>
    <w:rsid w:val="004D6B3C"/>
    <w:rsid w:val="004D771F"/>
    <w:rsid w:val="004E2564"/>
    <w:rsid w:val="004E3067"/>
    <w:rsid w:val="004E3179"/>
    <w:rsid w:val="004E5EEC"/>
    <w:rsid w:val="004F3860"/>
    <w:rsid w:val="004F4204"/>
    <w:rsid w:val="004F6B91"/>
    <w:rsid w:val="004F6C06"/>
    <w:rsid w:val="00506209"/>
    <w:rsid w:val="00506FAF"/>
    <w:rsid w:val="0050759A"/>
    <w:rsid w:val="00512426"/>
    <w:rsid w:val="005125A6"/>
    <w:rsid w:val="00522F16"/>
    <w:rsid w:val="0053495A"/>
    <w:rsid w:val="005350D9"/>
    <w:rsid w:val="00535488"/>
    <w:rsid w:val="005367DB"/>
    <w:rsid w:val="00537102"/>
    <w:rsid w:val="00540D29"/>
    <w:rsid w:val="00542BCC"/>
    <w:rsid w:val="005509AA"/>
    <w:rsid w:val="00554D44"/>
    <w:rsid w:val="00555579"/>
    <w:rsid w:val="00562556"/>
    <w:rsid w:val="00565D2E"/>
    <w:rsid w:val="005664B0"/>
    <w:rsid w:val="00567253"/>
    <w:rsid w:val="005708ED"/>
    <w:rsid w:val="0057574A"/>
    <w:rsid w:val="005770AC"/>
    <w:rsid w:val="00584E1E"/>
    <w:rsid w:val="00585EA2"/>
    <w:rsid w:val="005875E5"/>
    <w:rsid w:val="0059595E"/>
    <w:rsid w:val="005B44B2"/>
    <w:rsid w:val="005B76D7"/>
    <w:rsid w:val="005C07C9"/>
    <w:rsid w:val="005C594F"/>
    <w:rsid w:val="005C67DC"/>
    <w:rsid w:val="005D08A3"/>
    <w:rsid w:val="005D0941"/>
    <w:rsid w:val="005D0F6E"/>
    <w:rsid w:val="005D7EE6"/>
    <w:rsid w:val="005E0123"/>
    <w:rsid w:val="005F6864"/>
    <w:rsid w:val="00602EAE"/>
    <w:rsid w:val="006053B4"/>
    <w:rsid w:val="00607F93"/>
    <w:rsid w:val="00610605"/>
    <w:rsid w:val="00611DE5"/>
    <w:rsid w:val="00621BF1"/>
    <w:rsid w:val="00633599"/>
    <w:rsid w:val="00637E43"/>
    <w:rsid w:val="0064451E"/>
    <w:rsid w:val="006503EB"/>
    <w:rsid w:val="006503ED"/>
    <w:rsid w:val="00654702"/>
    <w:rsid w:val="00656A82"/>
    <w:rsid w:val="006607C3"/>
    <w:rsid w:val="00660BE1"/>
    <w:rsid w:val="00663B04"/>
    <w:rsid w:val="00665D06"/>
    <w:rsid w:val="006704CB"/>
    <w:rsid w:val="00686DBD"/>
    <w:rsid w:val="00687CAC"/>
    <w:rsid w:val="00690B36"/>
    <w:rsid w:val="0069294E"/>
    <w:rsid w:val="006A0980"/>
    <w:rsid w:val="006A275B"/>
    <w:rsid w:val="006B1BE2"/>
    <w:rsid w:val="006B2D61"/>
    <w:rsid w:val="006B3973"/>
    <w:rsid w:val="006C1F8C"/>
    <w:rsid w:val="006C3A45"/>
    <w:rsid w:val="006C6044"/>
    <w:rsid w:val="006C768D"/>
    <w:rsid w:val="006D31F8"/>
    <w:rsid w:val="006D67D7"/>
    <w:rsid w:val="006D7236"/>
    <w:rsid w:val="006E10F1"/>
    <w:rsid w:val="006E140B"/>
    <w:rsid w:val="006E4736"/>
    <w:rsid w:val="006F01D7"/>
    <w:rsid w:val="006F7F6D"/>
    <w:rsid w:val="007035CC"/>
    <w:rsid w:val="00704838"/>
    <w:rsid w:val="00717B78"/>
    <w:rsid w:val="0072075A"/>
    <w:rsid w:val="00721921"/>
    <w:rsid w:val="0072660D"/>
    <w:rsid w:val="00731D04"/>
    <w:rsid w:val="00732B34"/>
    <w:rsid w:val="00733B85"/>
    <w:rsid w:val="00735138"/>
    <w:rsid w:val="007355DD"/>
    <w:rsid w:val="00743C8A"/>
    <w:rsid w:val="00744ADB"/>
    <w:rsid w:val="00755272"/>
    <w:rsid w:val="00761BEF"/>
    <w:rsid w:val="00762903"/>
    <w:rsid w:val="007677E2"/>
    <w:rsid w:val="00772F61"/>
    <w:rsid w:val="007765C7"/>
    <w:rsid w:val="00781E11"/>
    <w:rsid w:val="007823C1"/>
    <w:rsid w:val="00784854"/>
    <w:rsid w:val="00794BDF"/>
    <w:rsid w:val="007957B0"/>
    <w:rsid w:val="00797B0E"/>
    <w:rsid w:val="007A357E"/>
    <w:rsid w:val="007A3709"/>
    <w:rsid w:val="007A6B96"/>
    <w:rsid w:val="007B56B2"/>
    <w:rsid w:val="007B6A6F"/>
    <w:rsid w:val="007C1ECC"/>
    <w:rsid w:val="007C343C"/>
    <w:rsid w:val="007D1389"/>
    <w:rsid w:val="007D23F7"/>
    <w:rsid w:val="007E12E8"/>
    <w:rsid w:val="007E2CB5"/>
    <w:rsid w:val="007E39DC"/>
    <w:rsid w:val="007F4816"/>
    <w:rsid w:val="007F5C5E"/>
    <w:rsid w:val="007F7030"/>
    <w:rsid w:val="00800B7C"/>
    <w:rsid w:val="008014B3"/>
    <w:rsid w:val="008019C1"/>
    <w:rsid w:val="008038E5"/>
    <w:rsid w:val="00806ADA"/>
    <w:rsid w:val="0082089C"/>
    <w:rsid w:val="0082112A"/>
    <w:rsid w:val="00822B04"/>
    <w:rsid w:val="00823089"/>
    <w:rsid w:val="0082467E"/>
    <w:rsid w:val="00832198"/>
    <w:rsid w:val="00834533"/>
    <w:rsid w:val="00834D80"/>
    <w:rsid w:val="008350AC"/>
    <w:rsid w:val="00837C9D"/>
    <w:rsid w:val="00843D11"/>
    <w:rsid w:val="00845190"/>
    <w:rsid w:val="00846B4E"/>
    <w:rsid w:val="0085093A"/>
    <w:rsid w:val="00850F3C"/>
    <w:rsid w:val="00851FD3"/>
    <w:rsid w:val="00853341"/>
    <w:rsid w:val="00855D92"/>
    <w:rsid w:val="008673E4"/>
    <w:rsid w:val="00867BDF"/>
    <w:rsid w:val="0087298D"/>
    <w:rsid w:val="00873B27"/>
    <w:rsid w:val="008742C2"/>
    <w:rsid w:val="008748BC"/>
    <w:rsid w:val="00875A4B"/>
    <w:rsid w:val="0088191A"/>
    <w:rsid w:val="00882941"/>
    <w:rsid w:val="0089327F"/>
    <w:rsid w:val="008A724F"/>
    <w:rsid w:val="008B0FBD"/>
    <w:rsid w:val="008B77B6"/>
    <w:rsid w:val="008C3458"/>
    <w:rsid w:val="008D3AA7"/>
    <w:rsid w:val="008D512E"/>
    <w:rsid w:val="008D7B62"/>
    <w:rsid w:val="008E05B9"/>
    <w:rsid w:val="008E0D76"/>
    <w:rsid w:val="008E4840"/>
    <w:rsid w:val="008E5729"/>
    <w:rsid w:val="008F11F2"/>
    <w:rsid w:val="008F421B"/>
    <w:rsid w:val="008F5CD2"/>
    <w:rsid w:val="0090616D"/>
    <w:rsid w:val="00912017"/>
    <w:rsid w:val="00914225"/>
    <w:rsid w:val="009166EC"/>
    <w:rsid w:val="00917AEA"/>
    <w:rsid w:val="00923E38"/>
    <w:rsid w:val="0092436A"/>
    <w:rsid w:val="00932552"/>
    <w:rsid w:val="009341B6"/>
    <w:rsid w:val="00935A61"/>
    <w:rsid w:val="009502AA"/>
    <w:rsid w:val="00952605"/>
    <w:rsid w:val="00952797"/>
    <w:rsid w:val="009601B4"/>
    <w:rsid w:val="009649B3"/>
    <w:rsid w:val="00973543"/>
    <w:rsid w:val="00973F2E"/>
    <w:rsid w:val="00975950"/>
    <w:rsid w:val="009861A2"/>
    <w:rsid w:val="00986C63"/>
    <w:rsid w:val="00992ADD"/>
    <w:rsid w:val="009A09AE"/>
    <w:rsid w:val="009A0D9E"/>
    <w:rsid w:val="009A2423"/>
    <w:rsid w:val="009A28A5"/>
    <w:rsid w:val="009B3531"/>
    <w:rsid w:val="009B57B3"/>
    <w:rsid w:val="009B67BB"/>
    <w:rsid w:val="009C4698"/>
    <w:rsid w:val="009C6900"/>
    <w:rsid w:val="009C6EC3"/>
    <w:rsid w:val="009D411C"/>
    <w:rsid w:val="009D4697"/>
    <w:rsid w:val="009D7113"/>
    <w:rsid w:val="009D7AE7"/>
    <w:rsid w:val="009E3CB4"/>
    <w:rsid w:val="009E6830"/>
    <w:rsid w:val="009F122C"/>
    <w:rsid w:val="009F2983"/>
    <w:rsid w:val="009F3AB5"/>
    <w:rsid w:val="009F41BD"/>
    <w:rsid w:val="00A03C64"/>
    <w:rsid w:val="00A04023"/>
    <w:rsid w:val="00A15909"/>
    <w:rsid w:val="00A23A4B"/>
    <w:rsid w:val="00A31BE3"/>
    <w:rsid w:val="00A31E0D"/>
    <w:rsid w:val="00A324F2"/>
    <w:rsid w:val="00A4578D"/>
    <w:rsid w:val="00A55D1F"/>
    <w:rsid w:val="00A60D32"/>
    <w:rsid w:val="00A615A4"/>
    <w:rsid w:val="00A63E76"/>
    <w:rsid w:val="00A64976"/>
    <w:rsid w:val="00A71F0A"/>
    <w:rsid w:val="00A80509"/>
    <w:rsid w:val="00A8656F"/>
    <w:rsid w:val="00A86707"/>
    <w:rsid w:val="00A906BF"/>
    <w:rsid w:val="00A9134E"/>
    <w:rsid w:val="00A92540"/>
    <w:rsid w:val="00A943D3"/>
    <w:rsid w:val="00A94E07"/>
    <w:rsid w:val="00A94E55"/>
    <w:rsid w:val="00AA0759"/>
    <w:rsid w:val="00AA0D32"/>
    <w:rsid w:val="00AA13A1"/>
    <w:rsid w:val="00AA2B14"/>
    <w:rsid w:val="00AA305A"/>
    <w:rsid w:val="00AA4104"/>
    <w:rsid w:val="00AA4123"/>
    <w:rsid w:val="00AA526B"/>
    <w:rsid w:val="00AA710B"/>
    <w:rsid w:val="00AA7CD2"/>
    <w:rsid w:val="00AB0617"/>
    <w:rsid w:val="00AC02C0"/>
    <w:rsid w:val="00AC2AAC"/>
    <w:rsid w:val="00AD2333"/>
    <w:rsid w:val="00AE51FC"/>
    <w:rsid w:val="00B019E9"/>
    <w:rsid w:val="00B01DC8"/>
    <w:rsid w:val="00B022EF"/>
    <w:rsid w:val="00B06470"/>
    <w:rsid w:val="00B070B3"/>
    <w:rsid w:val="00B104CC"/>
    <w:rsid w:val="00B11009"/>
    <w:rsid w:val="00B167DF"/>
    <w:rsid w:val="00B35F61"/>
    <w:rsid w:val="00B418EB"/>
    <w:rsid w:val="00B452CA"/>
    <w:rsid w:val="00B50948"/>
    <w:rsid w:val="00B62D79"/>
    <w:rsid w:val="00B643A5"/>
    <w:rsid w:val="00B64A5D"/>
    <w:rsid w:val="00B70CC6"/>
    <w:rsid w:val="00B75CE1"/>
    <w:rsid w:val="00B76916"/>
    <w:rsid w:val="00B823CD"/>
    <w:rsid w:val="00B84558"/>
    <w:rsid w:val="00B85AFE"/>
    <w:rsid w:val="00B901A0"/>
    <w:rsid w:val="00B901F2"/>
    <w:rsid w:val="00B93C25"/>
    <w:rsid w:val="00B943EA"/>
    <w:rsid w:val="00BA4550"/>
    <w:rsid w:val="00BA5F20"/>
    <w:rsid w:val="00BB03DE"/>
    <w:rsid w:val="00BB2D3E"/>
    <w:rsid w:val="00BB43A2"/>
    <w:rsid w:val="00BB5CFF"/>
    <w:rsid w:val="00BD086A"/>
    <w:rsid w:val="00BD7A3E"/>
    <w:rsid w:val="00BE028D"/>
    <w:rsid w:val="00BE28C1"/>
    <w:rsid w:val="00BE44D2"/>
    <w:rsid w:val="00BF6D33"/>
    <w:rsid w:val="00C04C3B"/>
    <w:rsid w:val="00C05F77"/>
    <w:rsid w:val="00C141EC"/>
    <w:rsid w:val="00C2411F"/>
    <w:rsid w:val="00C25B6A"/>
    <w:rsid w:val="00C26185"/>
    <w:rsid w:val="00C3081A"/>
    <w:rsid w:val="00C32DBD"/>
    <w:rsid w:val="00C3342C"/>
    <w:rsid w:val="00C366C5"/>
    <w:rsid w:val="00C378A6"/>
    <w:rsid w:val="00C44090"/>
    <w:rsid w:val="00C54E05"/>
    <w:rsid w:val="00C55BB9"/>
    <w:rsid w:val="00C568AD"/>
    <w:rsid w:val="00C61BFA"/>
    <w:rsid w:val="00C62DB1"/>
    <w:rsid w:val="00C63C5B"/>
    <w:rsid w:val="00C71484"/>
    <w:rsid w:val="00C719D2"/>
    <w:rsid w:val="00C752A6"/>
    <w:rsid w:val="00C813FE"/>
    <w:rsid w:val="00C90347"/>
    <w:rsid w:val="00C92165"/>
    <w:rsid w:val="00CA3288"/>
    <w:rsid w:val="00CA5E28"/>
    <w:rsid w:val="00CB1064"/>
    <w:rsid w:val="00CB6CD3"/>
    <w:rsid w:val="00CC0B2E"/>
    <w:rsid w:val="00CC33D3"/>
    <w:rsid w:val="00CD32B6"/>
    <w:rsid w:val="00CD55C2"/>
    <w:rsid w:val="00CD7113"/>
    <w:rsid w:val="00CD72D7"/>
    <w:rsid w:val="00CE3267"/>
    <w:rsid w:val="00CE4E24"/>
    <w:rsid w:val="00CF109D"/>
    <w:rsid w:val="00CF61B6"/>
    <w:rsid w:val="00D03AFE"/>
    <w:rsid w:val="00D06821"/>
    <w:rsid w:val="00D0684C"/>
    <w:rsid w:val="00D10470"/>
    <w:rsid w:val="00D11365"/>
    <w:rsid w:val="00D1313C"/>
    <w:rsid w:val="00D14AF1"/>
    <w:rsid w:val="00D14D43"/>
    <w:rsid w:val="00D15771"/>
    <w:rsid w:val="00D2358F"/>
    <w:rsid w:val="00D26F25"/>
    <w:rsid w:val="00D319D9"/>
    <w:rsid w:val="00D31CED"/>
    <w:rsid w:val="00D3263F"/>
    <w:rsid w:val="00D3322C"/>
    <w:rsid w:val="00D33334"/>
    <w:rsid w:val="00D43EB5"/>
    <w:rsid w:val="00D4610F"/>
    <w:rsid w:val="00D4639F"/>
    <w:rsid w:val="00D475FD"/>
    <w:rsid w:val="00D51650"/>
    <w:rsid w:val="00D51784"/>
    <w:rsid w:val="00D52F5E"/>
    <w:rsid w:val="00D547BA"/>
    <w:rsid w:val="00D60444"/>
    <w:rsid w:val="00D66538"/>
    <w:rsid w:val="00D676BC"/>
    <w:rsid w:val="00D7393C"/>
    <w:rsid w:val="00D77892"/>
    <w:rsid w:val="00D806C4"/>
    <w:rsid w:val="00D80BE1"/>
    <w:rsid w:val="00D84E0B"/>
    <w:rsid w:val="00D85A00"/>
    <w:rsid w:val="00D90EBB"/>
    <w:rsid w:val="00D96C76"/>
    <w:rsid w:val="00DA79A6"/>
    <w:rsid w:val="00DB2DF8"/>
    <w:rsid w:val="00DB2F01"/>
    <w:rsid w:val="00DB37B5"/>
    <w:rsid w:val="00DC4E58"/>
    <w:rsid w:val="00DC678A"/>
    <w:rsid w:val="00DC7928"/>
    <w:rsid w:val="00DC7AED"/>
    <w:rsid w:val="00DD64DA"/>
    <w:rsid w:val="00E01CEC"/>
    <w:rsid w:val="00E13BC9"/>
    <w:rsid w:val="00E16673"/>
    <w:rsid w:val="00E239B5"/>
    <w:rsid w:val="00E258A0"/>
    <w:rsid w:val="00E314C1"/>
    <w:rsid w:val="00E321A4"/>
    <w:rsid w:val="00E348C4"/>
    <w:rsid w:val="00E4488F"/>
    <w:rsid w:val="00E549A1"/>
    <w:rsid w:val="00E620F8"/>
    <w:rsid w:val="00E63B6E"/>
    <w:rsid w:val="00E653FD"/>
    <w:rsid w:val="00E71462"/>
    <w:rsid w:val="00E809BB"/>
    <w:rsid w:val="00E80E29"/>
    <w:rsid w:val="00E83746"/>
    <w:rsid w:val="00E94AD6"/>
    <w:rsid w:val="00E96A18"/>
    <w:rsid w:val="00E96E1E"/>
    <w:rsid w:val="00EA6BA1"/>
    <w:rsid w:val="00EB2E67"/>
    <w:rsid w:val="00EC2726"/>
    <w:rsid w:val="00ED6588"/>
    <w:rsid w:val="00ED7B6D"/>
    <w:rsid w:val="00EF4049"/>
    <w:rsid w:val="00F019B7"/>
    <w:rsid w:val="00F079EE"/>
    <w:rsid w:val="00F10E91"/>
    <w:rsid w:val="00F21C3D"/>
    <w:rsid w:val="00F21ED9"/>
    <w:rsid w:val="00F26B71"/>
    <w:rsid w:val="00F30EA3"/>
    <w:rsid w:val="00F35FC9"/>
    <w:rsid w:val="00F362B6"/>
    <w:rsid w:val="00F46CAB"/>
    <w:rsid w:val="00F564E4"/>
    <w:rsid w:val="00F64CD6"/>
    <w:rsid w:val="00F7422A"/>
    <w:rsid w:val="00F74636"/>
    <w:rsid w:val="00F8246C"/>
    <w:rsid w:val="00F83273"/>
    <w:rsid w:val="00F863C5"/>
    <w:rsid w:val="00F86982"/>
    <w:rsid w:val="00F9018A"/>
    <w:rsid w:val="00F94BCA"/>
    <w:rsid w:val="00F97CFE"/>
    <w:rsid w:val="00FA77E2"/>
    <w:rsid w:val="00FB39FA"/>
    <w:rsid w:val="00FB3F3E"/>
    <w:rsid w:val="00FC12E7"/>
    <w:rsid w:val="00FC2B1F"/>
    <w:rsid w:val="00FC6A06"/>
    <w:rsid w:val="00FD23F2"/>
    <w:rsid w:val="00FD6C3C"/>
    <w:rsid w:val="00FE07A4"/>
    <w:rsid w:val="00FE29FB"/>
    <w:rsid w:val="00FE2DF8"/>
    <w:rsid w:val="00FF162E"/>
    <w:rsid w:val="00FF3008"/>
    <w:rsid w:val="00FF46B4"/>
    <w:rsid w:val="00FF500B"/>
    <w:rsid w:val="00FF64D1"/>
    <w:rsid w:val="00FF7BE3"/>
    <w:rsid w:val="143F1F3F"/>
    <w:rsid w:val="2E2D543D"/>
    <w:rsid w:val="2EE025E2"/>
    <w:rsid w:val="4E323AF0"/>
    <w:rsid w:val="5C9D1A36"/>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6"/>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0"/>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1"/>
    <w:qFormat/>
    <w:uiPriority w:val="0"/>
    <w:pPr>
      <w:keepNext/>
      <w:spacing w:line="360" w:lineRule="auto"/>
      <w:jc w:val="both"/>
      <w:outlineLvl w:val="2"/>
    </w:pPr>
    <w:rPr>
      <w:rFonts w:ascii="Arial" w:hAnsi="Arial" w:cs="Arial"/>
      <w:u w:val="single"/>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9"/>
    <w:qFormat/>
    <w:uiPriority w:val="0"/>
    <w:rPr>
      <w:rFonts w:ascii="Tahoma" w:hAnsi="Tahoma" w:cs="Tahoma"/>
      <w:sz w:val="16"/>
      <w:szCs w:val="16"/>
    </w:rPr>
  </w:style>
  <w:style w:type="paragraph" w:styleId="6">
    <w:name w:val="Body Text"/>
    <w:basedOn w:val="1"/>
    <w:link w:val="20"/>
    <w:qFormat/>
    <w:uiPriority w:val="0"/>
    <w:pPr>
      <w:spacing w:line="360" w:lineRule="auto"/>
      <w:jc w:val="center"/>
    </w:pPr>
    <w:rPr>
      <w:rFonts w:ascii="Arial" w:hAnsi="Arial" w:cs="Arial"/>
      <w:sz w:val="72"/>
    </w:rPr>
  </w:style>
  <w:style w:type="paragraph" w:styleId="7">
    <w:name w:val="Body Text 2"/>
    <w:basedOn w:val="1"/>
    <w:link w:val="29"/>
    <w:qFormat/>
    <w:uiPriority w:val="0"/>
    <w:pPr>
      <w:spacing w:after="120" w:line="480" w:lineRule="auto"/>
    </w:pPr>
  </w:style>
  <w:style w:type="paragraph" w:styleId="8">
    <w:name w:val="Body Text Indent"/>
    <w:basedOn w:val="1"/>
    <w:link w:val="28"/>
    <w:qFormat/>
    <w:uiPriority w:val="99"/>
    <w:pPr>
      <w:spacing w:after="120"/>
      <w:ind w:left="283"/>
    </w:pPr>
  </w:style>
  <w:style w:type="paragraph" w:styleId="9">
    <w:name w:val="Body Text Indent 2"/>
    <w:basedOn w:val="1"/>
    <w:link w:val="31"/>
    <w:qFormat/>
    <w:uiPriority w:val="0"/>
    <w:pPr>
      <w:spacing w:after="120" w:line="480" w:lineRule="auto"/>
      <w:ind w:left="283"/>
    </w:pPr>
  </w:style>
  <w:style w:type="paragraph" w:styleId="10">
    <w:name w:val="footer"/>
    <w:basedOn w:val="1"/>
    <w:link w:val="24"/>
    <w:qFormat/>
    <w:uiPriority w:val="99"/>
    <w:pPr>
      <w:tabs>
        <w:tab w:val="center" w:pos="4680"/>
        <w:tab w:val="right" w:pos="9360"/>
      </w:tabs>
    </w:pPr>
  </w:style>
  <w:style w:type="paragraph" w:styleId="11">
    <w:name w:val="footnote text"/>
    <w:basedOn w:val="1"/>
    <w:link w:val="25"/>
    <w:qFormat/>
    <w:uiPriority w:val="0"/>
    <w:rPr>
      <w:sz w:val="20"/>
      <w:szCs w:val="20"/>
    </w:rPr>
  </w:style>
  <w:style w:type="paragraph" w:styleId="12">
    <w:name w:val="header"/>
    <w:basedOn w:val="1"/>
    <w:link w:val="23"/>
    <w:qFormat/>
    <w:uiPriority w:val="99"/>
    <w:pPr>
      <w:tabs>
        <w:tab w:val="center" w:pos="4680"/>
        <w:tab w:val="right" w:pos="9360"/>
      </w:tabs>
    </w:pPr>
  </w:style>
  <w:style w:type="character" w:styleId="14">
    <w:name w:val="footnote reference"/>
    <w:basedOn w:val="13"/>
    <w:qFormat/>
    <w:uiPriority w:val="0"/>
    <w:rPr>
      <w:vertAlign w:val="superscript"/>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7">
    <w:name w:val="No Spacing"/>
    <w:link w:val="18"/>
    <w:qFormat/>
    <w:uiPriority w:val="1"/>
    <w:rPr>
      <w:rFonts w:asciiTheme="minorHAnsi" w:hAnsiTheme="minorHAnsi" w:eastAsiaTheme="minorEastAsia" w:cstheme="minorBidi"/>
      <w:sz w:val="22"/>
      <w:szCs w:val="22"/>
      <w:lang w:val="en-US" w:eastAsia="en-US" w:bidi="ar-SA"/>
    </w:rPr>
  </w:style>
  <w:style w:type="character" w:customStyle="1" w:styleId="18">
    <w:name w:val="No Spacing Char"/>
    <w:basedOn w:val="13"/>
    <w:link w:val="17"/>
    <w:qFormat/>
    <w:uiPriority w:val="1"/>
    <w:rPr>
      <w:rFonts w:asciiTheme="minorHAnsi" w:hAnsiTheme="minorHAnsi" w:eastAsiaTheme="minorEastAsia" w:cstheme="minorBidi"/>
      <w:sz w:val="22"/>
      <w:szCs w:val="22"/>
    </w:rPr>
  </w:style>
  <w:style w:type="character" w:customStyle="1" w:styleId="19">
    <w:name w:val="Balloon Text Char"/>
    <w:basedOn w:val="13"/>
    <w:link w:val="5"/>
    <w:uiPriority w:val="0"/>
    <w:rPr>
      <w:rFonts w:ascii="Tahoma" w:hAnsi="Tahoma" w:cs="Tahoma"/>
      <w:sz w:val="16"/>
      <w:szCs w:val="16"/>
    </w:rPr>
  </w:style>
  <w:style w:type="character" w:customStyle="1" w:styleId="20">
    <w:name w:val="Body Text Char"/>
    <w:basedOn w:val="13"/>
    <w:link w:val="6"/>
    <w:qFormat/>
    <w:uiPriority w:val="0"/>
    <w:rPr>
      <w:rFonts w:ascii="Arial" w:hAnsi="Arial" w:cs="Arial"/>
      <w:sz w:val="72"/>
      <w:szCs w:val="24"/>
    </w:rPr>
  </w:style>
  <w:style w:type="character" w:customStyle="1" w:styleId="21">
    <w:name w:val="Heading 3 Char"/>
    <w:basedOn w:val="13"/>
    <w:link w:val="4"/>
    <w:qFormat/>
    <w:uiPriority w:val="0"/>
    <w:rPr>
      <w:rFonts w:ascii="Arial" w:hAnsi="Arial" w:cs="Arial"/>
      <w:sz w:val="24"/>
      <w:szCs w:val="24"/>
      <w:u w:val="single"/>
    </w:rPr>
  </w:style>
  <w:style w:type="paragraph" w:customStyle="1" w:styleId="22">
    <w:name w:val="List Paragraph"/>
    <w:basedOn w:val="1"/>
    <w:qFormat/>
    <w:uiPriority w:val="34"/>
    <w:pPr>
      <w:ind w:left="720"/>
      <w:contextualSpacing/>
    </w:pPr>
  </w:style>
  <w:style w:type="character" w:customStyle="1" w:styleId="23">
    <w:name w:val="Header Char"/>
    <w:basedOn w:val="13"/>
    <w:link w:val="12"/>
    <w:qFormat/>
    <w:uiPriority w:val="99"/>
    <w:rPr>
      <w:sz w:val="24"/>
      <w:szCs w:val="24"/>
    </w:rPr>
  </w:style>
  <w:style w:type="character" w:customStyle="1" w:styleId="24">
    <w:name w:val="Footer Char"/>
    <w:basedOn w:val="13"/>
    <w:link w:val="10"/>
    <w:qFormat/>
    <w:uiPriority w:val="99"/>
    <w:rPr>
      <w:sz w:val="24"/>
      <w:szCs w:val="24"/>
    </w:rPr>
  </w:style>
  <w:style w:type="character" w:customStyle="1" w:styleId="25">
    <w:name w:val="Footnote Text Char"/>
    <w:basedOn w:val="13"/>
    <w:link w:val="11"/>
    <w:qFormat/>
    <w:uiPriority w:val="0"/>
  </w:style>
  <w:style w:type="character" w:customStyle="1" w:styleId="26">
    <w:name w:val="Heading 1 Char"/>
    <w:basedOn w:val="13"/>
    <w:link w:val="2"/>
    <w:qFormat/>
    <w:uiPriority w:val="0"/>
    <w:rPr>
      <w:rFonts w:asciiTheme="majorHAnsi" w:hAnsiTheme="majorHAnsi" w:eastAsiaTheme="majorEastAsia" w:cstheme="majorBidi"/>
      <w:b/>
      <w:bCs/>
      <w:color w:val="376092" w:themeColor="accent1" w:themeShade="BF"/>
      <w:sz w:val="28"/>
      <w:szCs w:val="28"/>
    </w:rPr>
  </w:style>
  <w:style w:type="paragraph" w:customStyle="1" w:styleId="27">
    <w:name w:val="Default"/>
    <w:qFormat/>
    <w:uiPriority w:val="0"/>
    <w:pPr>
      <w:autoSpaceDE w:val="0"/>
      <w:autoSpaceDN w:val="0"/>
      <w:adjustRightInd w:val="0"/>
    </w:pPr>
    <w:rPr>
      <w:rFonts w:ascii="MEBMDB+Arial,Bold" w:hAnsi="MEBMDB+Arial,Bold" w:eastAsia="Times New Roman" w:cs="MEBMDB+Arial,Bold"/>
      <w:color w:val="000000"/>
      <w:sz w:val="24"/>
      <w:szCs w:val="24"/>
      <w:lang w:val="en-US" w:eastAsia="en-US" w:bidi="ar-SA"/>
    </w:rPr>
  </w:style>
  <w:style w:type="character" w:customStyle="1" w:styleId="28">
    <w:name w:val="Body Text Indent Char"/>
    <w:basedOn w:val="13"/>
    <w:link w:val="8"/>
    <w:qFormat/>
    <w:uiPriority w:val="99"/>
    <w:rPr>
      <w:sz w:val="24"/>
      <w:szCs w:val="24"/>
    </w:rPr>
  </w:style>
  <w:style w:type="character" w:customStyle="1" w:styleId="29">
    <w:name w:val="Body Text 2 Char"/>
    <w:basedOn w:val="13"/>
    <w:link w:val="7"/>
    <w:qFormat/>
    <w:uiPriority w:val="0"/>
    <w:rPr>
      <w:sz w:val="24"/>
      <w:szCs w:val="24"/>
    </w:rPr>
  </w:style>
  <w:style w:type="character" w:customStyle="1" w:styleId="30">
    <w:name w:val="Heading 2 Char"/>
    <w:basedOn w:val="13"/>
    <w:link w:val="3"/>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1">
    <w:name w:val="Body Text Indent 2 Char"/>
    <w:basedOn w:val="13"/>
    <w:link w:val="9"/>
    <w:qFormat/>
    <w:uiPriority w:val="0"/>
    <w:rPr>
      <w:sz w:val="24"/>
      <w:szCs w:val="24"/>
    </w:rPr>
  </w:style>
  <w:style w:type="paragraph" w:customStyle="1" w:styleId="32">
    <w:name w:val="CM10"/>
    <w:basedOn w:val="27"/>
    <w:next w:val="27"/>
    <w:qFormat/>
    <w:uiPriority w:val="0"/>
    <w:pPr>
      <w:widowControl w:val="0"/>
      <w:spacing w:line="276" w:lineRule="atLeast"/>
    </w:pPr>
    <w:rPr>
      <w:rFonts w:ascii="APFEO L+ Helvetica" w:hAnsi="APFEO L+ Helvetica" w:cs="APFEO L+ Helvetica"/>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overPageProperties xmlns="http://schemas.microsoft.com/office/2006/coverPageProps">
  <PublishDate>Reviewed for 2016-17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FF6CC939-42AD-4434-8408-52D17F3C631D}">
  <ds:schemaRefs/>
</ds:datastoreItem>
</file>

<file path=docProps/app.xml><?xml version="1.0" encoding="utf-8"?>
<Properties xmlns="http://schemas.openxmlformats.org/officeDocument/2006/extended-properties" xmlns:vt="http://schemas.openxmlformats.org/officeDocument/2006/docPropsVTypes">
  <Template>Normal</Template>
  <Company>Ngwathe Municipality</Company>
  <Pages>24</Pages>
  <Words>6401</Words>
  <Characters>36486</Characters>
  <Lines>304</Lines>
  <Paragraphs>85</Paragraphs>
  <ScaleCrop>false</ScaleCrop>
  <LinksUpToDate>false</LinksUpToDate>
  <CharactersWithSpaces>42802</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2014-03-13T00:54:00Z</dcterms:created>
  <dc:creator>2009/10</dc:creator>
  <cp:lastModifiedBy>Kgomotso Mtimkulu</cp:lastModifiedBy>
  <cp:lastPrinted>2017-06-08T09:54:42Z</cp:lastPrinted>
  <dcterms:modified xsi:type="dcterms:W3CDTF">2017-06-08T09:54:48Z</dcterms:modified>
  <dc:subject>Property Rates Policy</dc:subject>
  <dc:title>NGWATHE LOCAL MUNICIPALITY –  PROPERTY RATES POLICY</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